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87DAA" w14:textId="1E4FD38C" w:rsidR="00AA3E18" w:rsidRPr="00AA3E18" w:rsidRDefault="00AA3E18" w:rsidP="00AA3E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AA3E18">
        <w:rPr>
          <w:rFonts w:ascii="Times New Roman" w:eastAsia="Times New Roman" w:hAnsi="Times New Roman" w:cs="Times New Roman"/>
          <w:szCs w:val="24"/>
          <w:lang w:eastAsia="pl-PL"/>
        </w:rPr>
        <w:t>Załącznik</w:t>
      </w:r>
      <w:r>
        <w:rPr>
          <w:rFonts w:ascii="Times New Roman" w:eastAsia="Times New Roman" w:hAnsi="Times New Roman" w:cs="Times New Roman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szCs w:val="24"/>
          <w:lang w:eastAsia="pl-PL"/>
        </w:rPr>
        <w:t>B.31.</w:t>
      </w:r>
    </w:p>
    <w:p w14:paraId="39198C45" w14:textId="77777777" w:rsidR="00AA3E18" w:rsidRPr="00AA3E18" w:rsidRDefault="00AA3E18" w:rsidP="00AA3E1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2426FEAC" w14:textId="04A32669" w:rsidR="00AA3E18" w:rsidRPr="00AA3E18" w:rsidRDefault="00AA3E18" w:rsidP="00AA3E18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LECZENIE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TĘTNICZEGO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NADCIŚNIENIA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PŁUCNEGO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(TNP)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(ICD-10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I27,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 xml:space="preserve"> </w:t>
      </w:r>
      <w:r w:rsidRPr="00AA3E18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I27.0)</w:t>
      </w:r>
    </w:p>
    <w:tbl>
      <w:tblPr>
        <w:tblStyle w:val="Tabela-Siatka1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3692"/>
      </w:tblGrid>
      <w:tr w:rsidR="004833C7" w:rsidRPr="0048533E" w14:paraId="753B17C9" w14:textId="77777777" w:rsidTr="00AA3E18">
        <w:trPr>
          <w:trHeight w:val="567"/>
          <w:jc w:val="center"/>
        </w:trPr>
        <w:tc>
          <w:tcPr>
            <w:tcW w:w="15388" w:type="dxa"/>
            <w:gridSpan w:val="2"/>
            <w:vAlign w:val="center"/>
          </w:tcPr>
          <w:p w14:paraId="5A5E7854" w14:textId="056EEF29" w:rsidR="004833C7" w:rsidRPr="0048533E" w:rsidRDefault="004833C7" w:rsidP="00AA3E18">
            <w:pPr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ZAKRES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ŚWIADCZENIA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GWARANTOWANEGO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–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KRYTERIA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OGÓLNE</w:t>
            </w:r>
          </w:p>
        </w:tc>
      </w:tr>
      <w:tr w:rsidR="004833C7" w:rsidRPr="0048533E" w14:paraId="7EA6B926" w14:textId="77777777" w:rsidTr="0052754C">
        <w:trPr>
          <w:jc w:val="center"/>
        </w:trPr>
        <w:tc>
          <w:tcPr>
            <w:tcW w:w="1696" w:type="dxa"/>
          </w:tcPr>
          <w:p w14:paraId="770C8216" w14:textId="26511158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Kryteria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włączenia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br/>
            </w:r>
          </w:p>
        </w:tc>
        <w:tc>
          <w:tcPr>
            <w:tcW w:w="13692" w:type="dxa"/>
          </w:tcPr>
          <w:p w14:paraId="35E780CD" w14:textId="73018FF3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1)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zdiagnozowane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oraz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udokumentowane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tętnicze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nadciśnienie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płucne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(wg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aktualnej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klasyfikacji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towarzystw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naukowych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ESC,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ERS,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AEPC);</w:t>
            </w:r>
          </w:p>
          <w:p w14:paraId="0D45073A" w14:textId="0861AB7C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2)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udokumentowany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aktualnie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przeszłości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brak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spadku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ciśnienia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tętnicy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płucnej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ostrym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hemodynamicznym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teście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wazoreaktywności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(według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aktualnych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kryteriów)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niezadowalający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skutek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nietolerancja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przewlekłego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leczenia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lekami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blokującymi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kanał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wapniowy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pomimo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spadku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ciśnienia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tętnicy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płucnej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ostrym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hemodynamicznym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teście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wazoreaktywności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(według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aktualnych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kryteriów);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wymóg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przeprowadzenia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ostrego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testu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wazoreaktywności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dotyczy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pacjentów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idiopatycznym,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polekowym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dziedziczonym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tętniczym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nadciśnieniem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płucnym;</w:t>
            </w:r>
          </w:p>
          <w:p w14:paraId="2C32EBE0" w14:textId="76BFF538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3)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dodatkowe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kryteria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przedstawione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punkcie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„Kryteria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włączenia”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dla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poszczególnych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leków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połączeń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lekowych</w:t>
            </w:r>
            <w:r>
              <w:rPr>
                <w:szCs w:val="24"/>
              </w:rPr>
              <w:t>.</w:t>
            </w:r>
          </w:p>
          <w:p w14:paraId="388FC5DE" w14:textId="7FD61FE3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Kryteria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włączenia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muszą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być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spełnione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łącznie,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chyba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że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opisie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programu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wskazane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jest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inaczej.</w:t>
            </w:r>
          </w:p>
        </w:tc>
      </w:tr>
      <w:tr w:rsidR="004833C7" w:rsidRPr="0048533E" w14:paraId="32069B12" w14:textId="77777777" w:rsidTr="0052754C">
        <w:trPr>
          <w:jc w:val="center"/>
        </w:trPr>
        <w:tc>
          <w:tcPr>
            <w:tcW w:w="1696" w:type="dxa"/>
          </w:tcPr>
          <w:p w14:paraId="5D19EF66" w14:textId="2EDF8CEE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Czas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leczenia</w:t>
            </w:r>
            <w:r w:rsidR="00AA3E18">
              <w:rPr>
                <w:b/>
                <w:szCs w:val="24"/>
              </w:rPr>
              <w:t xml:space="preserve"> </w:t>
            </w:r>
          </w:p>
        </w:tc>
        <w:tc>
          <w:tcPr>
            <w:tcW w:w="13692" w:type="dxa"/>
          </w:tcPr>
          <w:p w14:paraId="4701FAFD" w14:textId="64DF798F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Czas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leczenia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programie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określa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lekarz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podstawie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kryteriów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wyłączenia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programu.</w:t>
            </w:r>
          </w:p>
        </w:tc>
      </w:tr>
      <w:tr w:rsidR="004833C7" w:rsidRPr="0048533E" w14:paraId="57A4F2F6" w14:textId="77777777" w:rsidTr="0052754C">
        <w:trPr>
          <w:jc w:val="center"/>
        </w:trPr>
        <w:tc>
          <w:tcPr>
            <w:tcW w:w="1696" w:type="dxa"/>
          </w:tcPr>
          <w:p w14:paraId="4277CF3D" w14:textId="7DCFB74D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Kryteria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wyłączenia</w:t>
            </w:r>
            <w:r w:rsidR="00AA3E18">
              <w:rPr>
                <w:b/>
                <w:szCs w:val="24"/>
              </w:rPr>
              <w:t xml:space="preserve"> </w:t>
            </w:r>
          </w:p>
        </w:tc>
        <w:tc>
          <w:tcPr>
            <w:tcW w:w="13692" w:type="dxa"/>
          </w:tcPr>
          <w:p w14:paraId="09563EDD" w14:textId="4833773C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1)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brak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współpracy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strony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pacjenta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zakresie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prowadzenia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terapii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okresowej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kontroli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jej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skuteczności;</w:t>
            </w:r>
          </w:p>
          <w:p w14:paraId="4CB666BF" w14:textId="5B514E2B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2)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nadwrażliwość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substancję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czynna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substancje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pomocnicze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leku;</w:t>
            </w:r>
          </w:p>
          <w:p w14:paraId="0C908BA6" w14:textId="49A94440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3)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inne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okoliczności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uzasadnione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względami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medycznymi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które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wskazują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konieczność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zmiany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terapii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inną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obrębie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poza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programem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leczenia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TNP)</w:t>
            </w:r>
            <w:r>
              <w:rPr>
                <w:szCs w:val="24"/>
              </w:rPr>
              <w:t>;</w:t>
            </w:r>
          </w:p>
          <w:p w14:paraId="204A261D" w14:textId="454DF3EB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4)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dodatkowe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kryteria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przedstawione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punkcie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„Kryteria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wyłączenia”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dla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poszczególnych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leków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lub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połączeń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lekowych</w:t>
            </w:r>
            <w:r>
              <w:rPr>
                <w:szCs w:val="24"/>
              </w:rPr>
              <w:t>.</w:t>
            </w:r>
          </w:p>
        </w:tc>
      </w:tr>
      <w:tr w:rsidR="004833C7" w:rsidRPr="0048533E" w14:paraId="75752954" w14:textId="77777777" w:rsidTr="0052754C">
        <w:trPr>
          <w:trHeight w:val="572"/>
          <w:jc w:val="center"/>
        </w:trPr>
        <w:tc>
          <w:tcPr>
            <w:tcW w:w="1696" w:type="dxa"/>
          </w:tcPr>
          <w:p w14:paraId="6E09ABB2" w14:textId="184C97A5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Ocena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klasy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czynnościowej</w:t>
            </w:r>
          </w:p>
        </w:tc>
        <w:tc>
          <w:tcPr>
            <w:tcW w:w="13692" w:type="dxa"/>
          </w:tcPr>
          <w:p w14:paraId="040CADD3" w14:textId="5EC1DD98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Oceny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klasy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czynnościowej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należy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dokonywać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zgodnie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klasyfikacją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Światowej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Organizacji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Zdrowia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(WHO)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opublikowaną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Wytycznych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Europejskiego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Towarzystwa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Kardiologicznego.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równorzędną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należy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uznać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klasyfikację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New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York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Heart</w:t>
            </w:r>
            <w:proofErr w:type="spellEnd"/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Association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(NYHA)</w:t>
            </w:r>
            <w:r>
              <w:rPr>
                <w:szCs w:val="24"/>
              </w:rPr>
              <w:t>.</w:t>
            </w:r>
          </w:p>
        </w:tc>
      </w:tr>
      <w:tr w:rsidR="004833C7" w:rsidRPr="0048533E" w14:paraId="743A161E" w14:textId="77777777" w:rsidTr="0052754C">
        <w:trPr>
          <w:trHeight w:val="200"/>
          <w:jc w:val="center"/>
        </w:trPr>
        <w:tc>
          <w:tcPr>
            <w:tcW w:w="1696" w:type="dxa"/>
          </w:tcPr>
          <w:p w14:paraId="2ABF65C4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Zalecenia</w:t>
            </w:r>
          </w:p>
        </w:tc>
        <w:tc>
          <w:tcPr>
            <w:tcW w:w="13692" w:type="dxa"/>
          </w:tcPr>
          <w:p w14:paraId="0BAFD990" w14:textId="38D86C05" w:rsidR="004833C7" w:rsidRPr="0048533E" w:rsidRDefault="004833C7" w:rsidP="004833C7">
            <w:pPr>
              <w:spacing w:line="276" w:lineRule="auto"/>
              <w:jc w:val="both"/>
              <w:rPr>
                <w:szCs w:val="24"/>
              </w:rPr>
            </w:pPr>
            <w:r w:rsidRPr="0048533E">
              <w:rPr>
                <w:szCs w:val="24"/>
              </w:rPr>
              <w:t>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miesiączkujących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dziewcząt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i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kobiet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wieku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rozrodczym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należy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zalecać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stosowanie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skutecznej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metody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antykoncepcji.</w:t>
            </w:r>
          </w:p>
        </w:tc>
      </w:tr>
    </w:tbl>
    <w:p w14:paraId="736F6E90" w14:textId="77777777" w:rsidR="004833C7" w:rsidRPr="0048533E" w:rsidRDefault="004833C7" w:rsidP="004833C7">
      <w:pPr>
        <w:spacing w:after="120" w:line="276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2018"/>
        <w:gridCol w:w="6608"/>
        <w:gridCol w:w="945"/>
        <w:gridCol w:w="5817"/>
      </w:tblGrid>
      <w:tr w:rsidR="004833C7" w:rsidRPr="0048533E" w14:paraId="0EC69973" w14:textId="77777777" w:rsidTr="00AA3E18">
        <w:trPr>
          <w:trHeight w:val="567"/>
        </w:trPr>
        <w:tc>
          <w:tcPr>
            <w:tcW w:w="5000" w:type="pct"/>
            <w:gridSpan w:val="4"/>
            <w:vAlign w:val="center"/>
          </w:tcPr>
          <w:p w14:paraId="14F17949" w14:textId="70D466F1" w:rsidR="004833C7" w:rsidRPr="0048533E" w:rsidRDefault="004833C7" w:rsidP="00AA3E18">
            <w:pPr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WYKAZ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SKRÓTÓW</w:t>
            </w:r>
          </w:p>
        </w:tc>
      </w:tr>
      <w:tr w:rsidR="004833C7" w:rsidRPr="0048533E" w14:paraId="4090D869" w14:textId="77777777" w:rsidTr="00AA3E18">
        <w:trPr>
          <w:trHeight w:val="281"/>
        </w:trPr>
        <w:tc>
          <w:tcPr>
            <w:tcW w:w="656" w:type="pct"/>
          </w:tcPr>
          <w:p w14:paraId="73F97F88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NFZ</w:t>
            </w:r>
          </w:p>
        </w:tc>
        <w:tc>
          <w:tcPr>
            <w:tcW w:w="2147" w:type="pct"/>
          </w:tcPr>
          <w:p w14:paraId="459E6B6F" w14:textId="16C4E8AB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Narodowy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Fundusz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Zdrowia</w:t>
            </w:r>
          </w:p>
        </w:tc>
        <w:tc>
          <w:tcPr>
            <w:tcW w:w="307" w:type="pct"/>
          </w:tcPr>
          <w:p w14:paraId="698C51DF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proofErr w:type="spellStart"/>
            <w:r w:rsidRPr="0048533E">
              <w:rPr>
                <w:b/>
                <w:szCs w:val="24"/>
              </w:rPr>
              <w:t>ChPL</w:t>
            </w:r>
            <w:proofErr w:type="spellEnd"/>
          </w:p>
        </w:tc>
        <w:tc>
          <w:tcPr>
            <w:tcW w:w="1890" w:type="pct"/>
          </w:tcPr>
          <w:p w14:paraId="472DBBF7" w14:textId="3CCABD72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Charakterystyka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produktu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leczniczego</w:t>
            </w:r>
          </w:p>
        </w:tc>
      </w:tr>
      <w:tr w:rsidR="004833C7" w:rsidRPr="0048533E" w14:paraId="46039B21" w14:textId="77777777" w:rsidTr="00AA3E18">
        <w:trPr>
          <w:trHeight w:val="281"/>
        </w:trPr>
        <w:tc>
          <w:tcPr>
            <w:tcW w:w="656" w:type="pct"/>
          </w:tcPr>
          <w:p w14:paraId="0FCAFA48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proofErr w:type="spellStart"/>
            <w:r w:rsidRPr="0048533E">
              <w:rPr>
                <w:b/>
                <w:szCs w:val="24"/>
              </w:rPr>
              <w:t>AsPAT</w:t>
            </w:r>
            <w:proofErr w:type="spellEnd"/>
          </w:p>
        </w:tc>
        <w:tc>
          <w:tcPr>
            <w:tcW w:w="2147" w:type="pct"/>
          </w:tcPr>
          <w:p w14:paraId="78F0503A" w14:textId="4FAF63BC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Aminotransferaza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asparginowa</w:t>
            </w:r>
          </w:p>
        </w:tc>
        <w:tc>
          <w:tcPr>
            <w:tcW w:w="307" w:type="pct"/>
          </w:tcPr>
          <w:p w14:paraId="3642CA7D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TNP</w:t>
            </w:r>
          </w:p>
        </w:tc>
        <w:tc>
          <w:tcPr>
            <w:tcW w:w="1890" w:type="pct"/>
          </w:tcPr>
          <w:p w14:paraId="3B5EFC58" w14:textId="356F25D7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Tętnicze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nadciśnienie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płucne</w:t>
            </w:r>
          </w:p>
        </w:tc>
      </w:tr>
      <w:tr w:rsidR="004833C7" w:rsidRPr="0048533E" w14:paraId="46C03800" w14:textId="77777777" w:rsidTr="00AA3E18">
        <w:trPr>
          <w:trHeight w:val="297"/>
        </w:trPr>
        <w:tc>
          <w:tcPr>
            <w:tcW w:w="656" w:type="pct"/>
          </w:tcPr>
          <w:p w14:paraId="13630EB1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bookmarkStart w:id="0" w:name="_Hlk520629621"/>
            <w:proofErr w:type="spellStart"/>
            <w:r w:rsidRPr="0048533E">
              <w:rPr>
                <w:b/>
                <w:szCs w:val="24"/>
              </w:rPr>
              <w:t>AlAT</w:t>
            </w:r>
            <w:proofErr w:type="spellEnd"/>
          </w:p>
        </w:tc>
        <w:tc>
          <w:tcPr>
            <w:tcW w:w="2147" w:type="pct"/>
          </w:tcPr>
          <w:p w14:paraId="5A375DA3" w14:textId="4680888C" w:rsidR="004833C7" w:rsidRPr="0048533E" w:rsidRDefault="004833C7" w:rsidP="004833C7">
            <w:pPr>
              <w:spacing w:line="276" w:lineRule="auto"/>
              <w:rPr>
                <w:color w:val="FF0000"/>
                <w:szCs w:val="24"/>
              </w:rPr>
            </w:pPr>
            <w:r w:rsidRPr="0048533E">
              <w:rPr>
                <w:szCs w:val="24"/>
              </w:rPr>
              <w:t>Aminotransferaza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alaninowa</w:t>
            </w:r>
          </w:p>
        </w:tc>
        <w:tc>
          <w:tcPr>
            <w:tcW w:w="307" w:type="pct"/>
          </w:tcPr>
          <w:p w14:paraId="19101F0B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WHO</w:t>
            </w:r>
          </w:p>
        </w:tc>
        <w:tc>
          <w:tcPr>
            <w:tcW w:w="1890" w:type="pct"/>
          </w:tcPr>
          <w:p w14:paraId="1A83A0E5" w14:textId="6D917619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Światowa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Organizacja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Zdrowia</w:t>
            </w:r>
          </w:p>
        </w:tc>
      </w:tr>
      <w:bookmarkEnd w:id="0"/>
      <w:tr w:rsidR="004833C7" w:rsidRPr="0048533E" w14:paraId="4674E92D" w14:textId="77777777" w:rsidTr="00AA3E18">
        <w:trPr>
          <w:trHeight w:val="281"/>
        </w:trPr>
        <w:tc>
          <w:tcPr>
            <w:tcW w:w="656" w:type="pct"/>
          </w:tcPr>
          <w:p w14:paraId="5731246D" w14:textId="24596820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BNP/</w:t>
            </w:r>
            <w:r w:rsidR="00AA3E18">
              <w:rPr>
                <w:b/>
                <w:szCs w:val="24"/>
              </w:rPr>
              <w:t xml:space="preserve"> </w:t>
            </w:r>
            <w:r w:rsidRPr="0048533E">
              <w:rPr>
                <w:b/>
                <w:szCs w:val="24"/>
              </w:rPr>
              <w:t>NT-</w:t>
            </w:r>
            <w:proofErr w:type="spellStart"/>
            <w:r w:rsidRPr="0048533E">
              <w:rPr>
                <w:b/>
                <w:szCs w:val="24"/>
              </w:rPr>
              <w:t>proBNP</w:t>
            </w:r>
            <w:proofErr w:type="spellEnd"/>
          </w:p>
        </w:tc>
        <w:tc>
          <w:tcPr>
            <w:tcW w:w="2147" w:type="pct"/>
          </w:tcPr>
          <w:p w14:paraId="134F4DEE" w14:textId="7B6D2C92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r w:rsidRPr="0048533E">
              <w:rPr>
                <w:szCs w:val="24"/>
              </w:rPr>
              <w:t>Peptyd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natriuretyczny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typu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B/N-końcowy</w:t>
            </w:r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fragment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proBNP</w:t>
            </w:r>
            <w:proofErr w:type="spellEnd"/>
            <w:r w:rsidR="00AA3E18">
              <w:rPr>
                <w:szCs w:val="24"/>
              </w:rPr>
              <w:t xml:space="preserve"> </w:t>
            </w:r>
          </w:p>
        </w:tc>
        <w:tc>
          <w:tcPr>
            <w:tcW w:w="307" w:type="pct"/>
          </w:tcPr>
          <w:p w14:paraId="646D5F40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ESC</w:t>
            </w:r>
          </w:p>
        </w:tc>
        <w:tc>
          <w:tcPr>
            <w:tcW w:w="1890" w:type="pct"/>
          </w:tcPr>
          <w:p w14:paraId="52EC1881" w14:textId="542971DE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proofErr w:type="spellStart"/>
            <w:r w:rsidRPr="0048533E">
              <w:rPr>
                <w:szCs w:val="24"/>
              </w:rPr>
              <w:t>European</w:t>
            </w:r>
            <w:proofErr w:type="spellEnd"/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Society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of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Cardiology</w:t>
            </w:r>
            <w:proofErr w:type="spellEnd"/>
          </w:p>
        </w:tc>
      </w:tr>
      <w:tr w:rsidR="004833C7" w:rsidRPr="00471C19" w14:paraId="4888598F" w14:textId="77777777" w:rsidTr="00AA3E18">
        <w:trPr>
          <w:trHeight w:val="281"/>
        </w:trPr>
        <w:tc>
          <w:tcPr>
            <w:tcW w:w="656" w:type="pct"/>
          </w:tcPr>
          <w:p w14:paraId="0E2234CC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ERS</w:t>
            </w:r>
          </w:p>
        </w:tc>
        <w:tc>
          <w:tcPr>
            <w:tcW w:w="2147" w:type="pct"/>
          </w:tcPr>
          <w:p w14:paraId="51503A98" w14:textId="254E5960" w:rsidR="004833C7" w:rsidRPr="0048533E" w:rsidRDefault="004833C7" w:rsidP="004833C7">
            <w:pPr>
              <w:spacing w:line="276" w:lineRule="auto"/>
              <w:rPr>
                <w:szCs w:val="24"/>
              </w:rPr>
            </w:pPr>
            <w:proofErr w:type="spellStart"/>
            <w:r w:rsidRPr="0048533E">
              <w:rPr>
                <w:szCs w:val="24"/>
              </w:rPr>
              <w:t>European</w:t>
            </w:r>
            <w:proofErr w:type="spellEnd"/>
            <w:r w:rsidR="00AA3E18">
              <w:rPr>
                <w:szCs w:val="24"/>
              </w:rPr>
              <w:t xml:space="preserve"> </w:t>
            </w:r>
            <w:r w:rsidRPr="0048533E">
              <w:rPr>
                <w:szCs w:val="24"/>
              </w:rPr>
              <w:t>Respiratory</w:t>
            </w:r>
            <w:r w:rsidR="00AA3E18">
              <w:rPr>
                <w:szCs w:val="24"/>
              </w:rPr>
              <w:t xml:space="preserve"> </w:t>
            </w:r>
            <w:proofErr w:type="spellStart"/>
            <w:r w:rsidRPr="0048533E">
              <w:rPr>
                <w:szCs w:val="24"/>
              </w:rPr>
              <w:t>Society</w:t>
            </w:r>
            <w:proofErr w:type="spellEnd"/>
          </w:p>
        </w:tc>
        <w:tc>
          <w:tcPr>
            <w:tcW w:w="307" w:type="pct"/>
          </w:tcPr>
          <w:p w14:paraId="0DE4B3CF" w14:textId="77777777" w:rsidR="004833C7" w:rsidRPr="0048533E" w:rsidRDefault="004833C7" w:rsidP="004833C7">
            <w:pPr>
              <w:spacing w:line="276" w:lineRule="auto"/>
              <w:rPr>
                <w:b/>
                <w:szCs w:val="24"/>
              </w:rPr>
            </w:pPr>
            <w:r w:rsidRPr="0048533E">
              <w:rPr>
                <w:b/>
                <w:szCs w:val="24"/>
              </w:rPr>
              <w:t>AEPC</w:t>
            </w:r>
          </w:p>
        </w:tc>
        <w:tc>
          <w:tcPr>
            <w:tcW w:w="1890" w:type="pct"/>
          </w:tcPr>
          <w:p w14:paraId="19D2D6D5" w14:textId="2A4383A5" w:rsidR="004833C7" w:rsidRPr="0048533E" w:rsidRDefault="004833C7" w:rsidP="004833C7">
            <w:pPr>
              <w:spacing w:line="276" w:lineRule="auto"/>
              <w:rPr>
                <w:szCs w:val="24"/>
                <w:lang w:val="en-US"/>
              </w:rPr>
            </w:pPr>
            <w:r w:rsidRPr="0048533E">
              <w:rPr>
                <w:szCs w:val="24"/>
                <w:lang w:val="en-US"/>
              </w:rPr>
              <w:t>Association</w:t>
            </w:r>
            <w:r w:rsidR="00AA3E18">
              <w:rPr>
                <w:szCs w:val="24"/>
                <w:lang w:val="en-US"/>
              </w:rPr>
              <w:t xml:space="preserve"> </w:t>
            </w:r>
            <w:r w:rsidRPr="0048533E">
              <w:rPr>
                <w:szCs w:val="24"/>
                <w:lang w:val="en-US"/>
              </w:rPr>
              <w:t>for</w:t>
            </w:r>
            <w:r w:rsidR="00AA3E18">
              <w:rPr>
                <w:szCs w:val="24"/>
                <w:lang w:val="en-US"/>
              </w:rPr>
              <w:t xml:space="preserve"> </w:t>
            </w:r>
            <w:r w:rsidRPr="0048533E">
              <w:rPr>
                <w:szCs w:val="24"/>
                <w:lang w:val="en-US"/>
              </w:rPr>
              <w:t>European</w:t>
            </w:r>
            <w:r w:rsidR="00AA3E18">
              <w:rPr>
                <w:szCs w:val="24"/>
                <w:lang w:val="en-US"/>
              </w:rPr>
              <w:t xml:space="preserve"> </w:t>
            </w:r>
            <w:r w:rsidRPr="0048533E">
              <w:rPr>
                <w:szCs w:val="24"/>
                <w:lang w:val="en-US"/>
              </w:rPr>
              <w:t>Pediatric</w:t>
            </w:r>
            <w:r w:rsidR="00AA3E18">
              <w:rPr>
                <w:szCs w:val="24"/>
                <w:lang w:val="en-US"/>
              </w:rPr>
              <w:t xml:space="preserve"> </w:t>
            </w:r>
            <w:r w:rsidRPr="0048533E">
              <w:rPr>
                <w:szCs w:val="24"/>
                <w:lang w:val="en-US"/>
              </w:rPr>
              <w:t>Cardiology</w:t>
            </w:r>
          </w:p>
        </w:tc>
      </w:tr>
    </w:tbl>
    <w:p w14:paraId="223F3642" w14:textId="77777777" w:rsidR="004833C7" w:rsidRPr="0052754C" w:rsidRDefault="004833C7">
      <w:pPr>
        <w:rPr>
          <w:lang w:val="en-GB"/>
        </w:rPr>
      </w:pPr>
    </w:p>
    <w:tbl>
      <w:tblPr>
        <w:tblpPr w:leftFromText="141" w:rightFromText="141" w:horzAnchor="margin" w:tblpY="45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37"/>
        <w:gridCol w:w="4221"/>
        <w:gridCol w:w="4224"/>
      </w:tblGrid>
      <w:tr w:rsidR="004833C7" w:rsidRPr="004833C7" w14:paraId="26CC02D7" w14:textId="77777777" w:rsidTr="00E024EA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13FDD" w14:textId="5D2378A3" w:rsidR="004833C7" w:rsidRPr="004833C7" w:rsidRDefault="004833C7" w:rsidP="00E0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ZAKRES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SZCZEGÓŁOWE</w:t>
            </w:r>
          </w:p>
        </w:tc>
      </w:tr>
      <w:tr w:rsidR="004833C7" w:rsidRPr="004833C7" w14:paraId="02364599" w14:textId="77777777" w:rsidTr="00AA3E18">
        <w:trPr>
          <w:trHeight w:val="567"/>
        </w:trPr>
        <w:tc>
          <w:tcPr>
            <w:tcW w:w="2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5A7D3" w14:textId="77777777" w:rsidR="004833C7" w:rsidRPr="004833C7" w:rsidRDefault="004833C7" w:rsidP="00E0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1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52EC" w14:textId="0C1CF08F" w:rsidR="004833C7" w:rsidRPr="004833C7" w:rsidRDefault="004833C7" w:rsidP="00E0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F895" w14:textId="72F16AE8" w:rsidR="004833C7" w:rsidRPr="004833C7" w:rsidRDefault="004833C7" w:rsidP="00E02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AA3E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4833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4833C7" w:rsidRPr="004833C7" w14:paraId="4A661888" w14:textId="77777777" w:rsidTr="00AA3E18">
        <w:trPr>
          <w:trHeight w:val="20"/>
        </w:trPr>
        <w:tc>
          <w:tcPr>
            <w:tcW w:w="2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8AD69" w14:textId="7979F2E9" w:rsidR="004833C7" w:rsidRPr="0052754C" w:rsidRDefault="0052754C" w:rsidP="00E024EA">
            <w:pPr>
              <w:spacing w:before="120" w:after="60" w:line="276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A.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dorosłych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(≥18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lat)</w:t>
            </w:r>
          </w:p>
          <w:p w14:paraId="02D0DF83" w14:textId="56ED8FD6" w:rsidR="004833C7" w:rsidRPr="0052754C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I.</w:t>
            </w:r>
            <w:r w:rsidR="003F5D02"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POCZĄTKOWE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(MONOTERAPIA)</w:t>
            </w:r>
          </w:p>
          <w:p w14:paraId="0E44F365" w14:textId="4D3DB032" w:rsidR="004833C7" w:rsidRPr="0052754C" w:rsidRDefault="004833C7" w:rsidP="008367DA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</w:p>
          <w:p w14:paraId="063A3227" w14:textId="783859C4" w:rsidR="004833C7" w:rsidRPr="0052754C" w:rsidRDefault="004833C7" w:rsidP="008367D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01A2A816" w14:textId="19BB5217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czynnościowa.</w:t>
            </w:r>
          </w:p>
          <w:p w14:paraId="054F74EA" w14:textId="77777777" w:rsidR="003F5D02" w:rsidRPr="0052754C" w:rsidRDefault="003F5D02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8170405" w14:textId="034AEE60" w:rsidR="004833C7" w:rsidRPr="0052754C" w:rsidRDefault="004833C7" w:rsidP="008367D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06021E38" w14:textId="1E3ED5CD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A4E0697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5F83D5" w14:textId="22F06B7C" w:rsidR="004833C7" w:rsidRPr="0052754C" w:rsidRDefault="004833C7" w:rsidP="008367DA">
            <w:pPr>
              <w:pStyle w:val="Akapitzlist"/>
              <w:numPr>
                <w:ilvl w:val="0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Sildenafil</w:t>
            </w:r>
            <w:proofErr w:type="spellEnd"/>
          </w:p>
          <w:p w14:paraId="715145F6" w14:textId="7DD06582" w:rsidR="004833C7" w:rsidRPr="0052754C" w:rsidRDefault="004833C7" w:rsidP="008367D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1E49C49A" w14:textId="486C72E0" w:rsid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55F5E86D" w14:textId="5A0C71B0" w:rsidR="004833C7" w:rsidRPr="0052754C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55E27364" w14:textId="0596A7DD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leczony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PDE5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zespołem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Eisenmengera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0C4195B" w14:textId="77777777" w:rsidR="003F5D02" w:rsidRPr="0052754C" w:rsidRDefault="003F5D02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719C57" w14:textId="7EA54848" w:rsidR="004833C7" w:rsidRPr="0052754C" w:rsidRDefault="004833C7" w:rsidP="008367DA">
            <w:pPr>
              <w:pStyle w:val="Akapitzlist"/>
              <w:numPr>
                <w:ilvl w:val="1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0087ADB8" w14:textId="42F31CA3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powikłania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terapii;</w:t>
            </w:r>
          </w:p>
          <w:p w14:paraId="702025E9" w14:textId="16DA14C2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udar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dni;</w:t>
            </w:r>
          </w:p>
          <w:p w14:paraId="1C5B5315" w14:textId="124081BD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dni;</w:t>
            </w:r>
          </w:p>
          <w:p w14:paraId="768F202C" w14:textId="0791F2B8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niedociśnienie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(&lt;90/50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mmHg)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jeżeli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komory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wtórnej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TNP;</w:t>
            </w:r>
          </w:p>
          <w:p w14:paraId="6BD22620" w14:textId="0D7A1EF7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konieczność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azotanów,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przeciwgrzybicznych,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przeciwwirusowych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powodujących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interakcje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0D9A6C" w14:textId="1528D078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retinitis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pigmetosa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wzroku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nietętniczej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przedniej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niedokrwiennej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neuropatii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nerwu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wzrokowego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(NAION);</w:t>
            </w:r>
          </w:p>
          <w:p w14:paraId="3CEA2ABA" w14:textId="5C10D112" w:rsidR="004833C7" w:rsidRPr="0052754C" w:rsidRDefault="004833C7" w:rsidP="008367DA">
            <w:pPr>
              <w:pStyle w:val="Akapitzlist"/>
              <w:numPr>
                <w:ilvl w:val="2"/>
                <w:numId w:val="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(klasa</w:t>
            </w:r>
            <w:r w:rsidR="00AA3E1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wg</w:t>
            </w:r>
            <w:r w:rsidR="00AA3E18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Child-</w:t>
            </w:r>
            <w:proofErr w:type="spellStart"/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52754C">
              <w:rPr>
                <w:rFonts w:ascii="Times New Roman" w:hAnsi="Times New Roman"/>
                <w:sz w:val="20"/>
                <w:szCs w:val="20"/>
                <w:lang w:eastAsia="pl-PL"/>
              </w:rPr>
              <w:t>)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F061352" w14:textId="77777777" w:rsidR="003F5D02" w:rsidRPr="0052754C" w:rsidRDefault="003F5D02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E760765" w14:textId="3C7395BC" w:rsidR="004833C7" w:rsidRPr="0052754C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RZUTU</w:t>
            </w:r>
          </w:p>
          <w:p w14:paraId="476CA5F9" w14:textId="0761B299" w:rsidR="004833C7" w:rsidRPr="0052754C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II.A.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MONOTERAPIA</w:t>
            </w:r>
          </w:p>
          <w:p w14:paraId="51813D3E" w14:textId="610F3E49" w:rsidR="004833C7" w:rsidRPr="0052754C" w:rsidRDefault="004833C7" w:rsidP="008367DA">
            <w:pPr>
              <w:pStyle w:val="Akapitzlist"/>
              <w:numPr>
                <w:ilvl w:val="0"/>
                <w:numId w:val="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treprostinil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2564ACF4" w14:textId="366C7D92" w:rsidR="004833C7" w:rsidRPr="0052754C" w:rsidRDefault="004833C7" w:rsidP="008367DA">
            <w:pPr>
              <w:pStyle w:val="Akapitzlist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224BCD88" w14:textId="052833D1" w:rsidR="004833C7" w:rsidRPr="0052754C" w:rsidRDefault="004833C7" w:rsidP="008367DA">
            <w:pPr>
              <w:pStyle w:val="Akapitzlist"/>
              <w:numPr>
                <w:ilvl w:val="2"/>
                <w:numId w:val="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118996C" w14:textId="77777777" w:rsidR="004833C7" w:rsidRPr="0052754C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37C294DC" w14:textId="67814651" w:rsidR="004833C7" w:rsidRPr="0052754C" w:rsidRDefault="004833C7" w:rsidP="008367DA">
            <w:pPr>
              <w:pStyle w:val="Akapitzlist"/>
              <w:numPr>
                <w:ilvl w:val="2"/>
                <w:numId w:val="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</w:p>
          <w:p w14:paraId="3ED5807B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AED03E" w14:textId="1A3CC67A" w:rsidR="004833C7" w:rsidRPr="0052754C" w:rsidRDefault="004833C7" w:rsidP="008367DA">
            <w:pPr>
              <w:pStyle w:val="Akapitzlist"/>
              <w:numPr>
                <w:ilvl w:val="1"/>
                <w:numId w:val="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15F6FEBE" w14:textId="77777777" w:rsidR="0052754C" w:rsidRDefault="004833C7" w:rsidP="008367DA">
            <w:pPr>
              <w:pStyle w:val="Akapitzlist"/>
              <w:numPr>
                <w:ilvl w:val="3"/>
                <w:numId w:val="2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</w:p>
          <w:p w14:paraId="586986D2" w14:textId="759D4347" w:rsidR="004833C7" w:rsidRDefault="0052754C" w:rsidP="00E024EA">
            <w:pPr>
              <w:pStyle w:val="Akapitzlist"/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najmniej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przeciwskazań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43E1783D" w14:textId="77777777" w:rsidR="0052754C" w:rsidRPr="0052754C" w:rsidRDefault="0052754C" w:rsidP="00E024EA">
            <w:pPr>
              <w:pStyle w:val="Akapitzlist"/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F2A951A" w14:textId="63AFA89C" w:rsidR="004833C7" w:rsidRPr="0052754C" w:rsidRDefault="004833C7" w:rsidP="008367DA">
            <w:pPr>
              <w:pStyle w:val="Akapitzlist"/>
              <w:numPr>
                <w:ilvl w:val="3"/>
                <w:numId w:val="2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7FA6EC6B" w14:textId="24A72C91" w:rsidR="004833C7" w:rsidRPr="0052754C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niedokrwienna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niestabilna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dławica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piersiowa;</w:t>
            </w:r>
          </w:p>
          <w:p w14:paraId="41C8CD3E" w14:textId="78952BAA" w:rsidR="004833C7" w:rsidRPr="0052754C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przebyty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miesięcy;</w:t>
            </w:r>
          </w:p>
          <w:p w14:paraId="4F768D7A" w14:textId="12FBD841" w:rsidR="004833C7" w:rsidRPr="0052754C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niewyrównana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spowodowana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TNP;</w:t>
            </w:r>
          </w:p>
          <w:p w14:paraId="121E65E1" w14:textId="36F8E397" w:rsidR="004833C7" w:rsidRPr="0052754C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rytmu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serca;</w:t>
            </w:r>
          </w:p>
          <w:p w14:paraId="33371313" w14:textId="4DA24A82" w:rsidR="004833C7" w:rsidRPr="0052754C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zastawkowe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niezwiązanymi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płucnym;</w:t>
            </w:r>
          </w:p>
          <w:p w14:paraId="62E38B6E" w14:textId="1E31CF80" w:rsidR="004833C7" w:rsidRDefault="004833C7" w:rsidP="008367DA">
            <w:pPr>
              <w:pStyle w:val="Akapitzlist"/>
              <w:numPr>
                <w:ilvl w:val="2"/>
                <w:numId w:val="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stany,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wpływ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iloprostu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płytki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krwotoku.</w:t>
            </w:r>
          </w:p>
          <w:p w14:paraId="7D2CC8E3" w14:textId="77777777" w:rsidR="0052754C" w:rsidRPr="0052754C" w:rsidRDefault="0052754C" w:rsidP="00E024E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E65D595" w14:textId="747F6D2B" w:rsidR="004833C7" w:rsidRPr="0052754C" w:rsidRDefault="004833C7" w:rsidP="008367DA">
            <w:pPr>
              <w:pStyle w:val="Akapitzlist"/>
              <w:numPr>
                <w:ilvl w:val="3"/>
                <w:numId w:val="2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treprostinil</w:t>
            </w:r>
            <w:proofErr w:type="spellEnd"/>
          </w:p>
          <w:p w14:paraId="63BF9556" w14:textId="695BC3D1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zarostową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płucnych;</w:t>
            </w:r>
          </w:p>
          <w:p w14:paraId="47D0E6C6" w14:textId="2AD36488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zastoinowa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spowodowana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lewej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komory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serca;</w:t>
            </w:r>
          </w:p>
          <w:p w14:paraId="34320E4D" w14:textId="46E3AF71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Child-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F5B67AD" w14:textId="06912FBB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wrzodowa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przewodu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pokarmowego,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krwawienie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śródczaszkowe,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zranienie,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rodzaj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krwawienia;</w:t>
            </w:r>
          </w:p>
          <w:p w14:paraId="70A55187" w14:textId="6CA6F840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nabyte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zastawkowe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znaczącymi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niezwiązanymi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płucnym;</w:t>
            </w:r>
          </w:p>
          <w:p w14:paraId="1135A7A6" w14:textId="16456070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niedokrwiennej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niestabilna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dławicy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piersiowej;</w:t>
            </w:r>
          </w:p>
          <w:p w14:paraId="526D4BAB" w14:textId="04E794E1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przebyty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miesięcy;</w:t>
            </w:r>
          </w:p>
          <w:p w14:paraId="45FCBA16" w14:textId="59AAC1AA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nieleczona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serca;</w:t>
            </w:r>
          </w:p>
          <w:p w14:paraId="0B7BA51A" w14:textId="4073D42C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rytmu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serca;</w:t>
            </w:r>
          </w:p>
          <w:p w14:paraId="50D7BB72" w14:textId="06DEEFF6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poniżej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90/50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mmHg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spowodowane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TNP.</w:t>
            </w:r>
          </w:p>
          <w:p w14:paraId="5778BCD4" w14:textId="77777777" w:rsidR="007436A4" w:rsidRPr="0052754C" w:rsidRDefault="007436A4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F3EE811" w14:textId="1F9723EB" w:rsidR="004833C7" w:rsidRPr="0052754C" w:rsidRDefault="004833C7" w:rsidP="008367D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</w:p>
          <w:p w14:paraId="2DCE3AAA" w14:textId="2447846D" w:rsidR="004833C7" w:rsidRPr="0052754C" w:rsidRDefault="004833C7" w:rsidP="008367D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5BAD454D" w14:textId="5C5758DD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14887FF" w14:textId="77777777" w:rsidR="004833C7" w:rsidRPr="0052754C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76960020" w14:textId="58266F11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</w:p>
          <w:p w14:paraId="738FB831" w14:textId="77777777" w:rsidR="004833C7" w:rsidRPr="0052754C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B9A37A5" w14:textId="2402F1DB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przeszczepienie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wrotnym.</w:t>
            </w:r>
          </w:p>
          <w:p w14:paraId="16559AEC" w14:textId="7387D5E5" w:rsidR="004833C7" w:rsidRPr="0052754C" w:rsidRDefault="004833C7" w:rsidP="00E024EA">
            <w:pPr>
              <w:spacing w:after="60" w:line="276" w:lineRule="auto"/>
              <w:ind w:firstLine="4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250B73" w14:textId="7F88BE4E" w:rsidR="004833C7" w:rsidRPr="0052754C" w:rsidRDefault="004833C7" w:rsidP="008367D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41353210" w14:textId="609359D5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zastoinowa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spowodowana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lewej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komory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serca;</w:t>
            </w:r>
          </w:p>
          <w:p w14:paraId="30CE703F" w14:textId="0C8330EA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obrzęku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zakresu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dawek;</w:t>
            </w:r>
          </w:p>
          <w:p w14:paraId="7AB4F1F5" w14:textId="1FE3ED7E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laktacja;</w:t>
            </w:r>
          </w:p>
          <w:p w14:paraId="0AB33260" w14:textId="5BD05A3E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7A055C8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07A960" w14:textId="3A12EA1F" w:rsidR="004833C7" w:rsidRPr="0052754C" w:rsidRDefault="004833C7" w:rsidP="008367DA">
            <w:pPr>
              <w:pStyle w:val="Akapitzlist"/>
              <w:numPr>
                <w:ilvl w:val="0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Riocyguat</w:t>
            </w:r>
            <w:proofErr w:type="spellEnd"/>
          </w:p>
          <w:p w14:paraId="7004676C" w14:textId="4B8933D1" w:rsidR="004833C7" w:rsidRPr="0052754C" w:rsidRDefault="004833C7" w:rsidP="008367D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53AAC99B" w14:textId="7FB384C3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czynnościowa;</w:t>
            </w:r>
          </w:p>
          <w:p w14:paraId="5A052D3A" w14:textId="4A6AA0C5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początkowe.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3A4F5D2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A773468" w14:textId="4C412A1F" w:rsidR="004833C7" w:rsidRPr="0052754C" w:rsidRDefault="004833C7" w:rsidP="008367DA">
            <w:pPr>
              <w:pStyle w:val="Akapitzlist"/>
              <w:numPr>
                <w:ilvl w:val="1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0A225FB0" w14:textId="3AFA7F20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PDE-5;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3BD979C" w14:textId="0BBECD63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(stopień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Child-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7B6E301B" w14:textId="728E6DB9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</w:p>
          <w:p w14:paraId="4D38865A" w14:textId="017C93C4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azotanów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uwalniających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tlenek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(takimi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amylu);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C86FEFE" w14:textId="11EAA9DA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&lt;95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31F11703" w14:textId="711E4A95" w:rsidR="004833C7" w:rsidRPr="0052754C" w:rsidRDefault="004833C7" w:rsidP="008367DA">
            <w:pPr>
              <w:pStyle w:val="Akapitzlist"/>
              <w:numPr>
                <w:ilvl w:val="2"/>
                <w:numId w:val="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redukcji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hipotensja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&lt;95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Hg.</w:t>
            </w:r>
          </w:p>
          <w:p w14:paraId="090CA589" w14:textId="6723BE45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83E03D" w14:textId="2DC155D1" w:rsidR="004833C7" w:rsidRPr="0052754C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II.B.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TERAPIA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SKOJARZONA</w:t>
            </w:r>
          </w:p>
          <w:p w14:paraId="0BDF3E33" w14:textId="480F7252" w:rsidR="004833C7" w:rsidRPr="0052754C" w:rsidRDefault="004833C7" w:rsidP="008367DA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</w:p>
          <w:p w14:paraId="5A8EC98B" w14:textId="399A95F4" w:rsidR="004833C7" w:rsidRPr="0052754C" w:rsidRDefault="004833C7" w:rsidP="008367DA">
            <w:pPr>
              <w:pStyle w:val="Akapitzlist"/>
              <w:numPr>
                <w:ilvl w:val="1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32D6C864" w14:textId="2B4A5C06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skojarzonej;</w:t>
            </w:r>
          </w:p>
          <w:p w14:paraId="74D27792" w14:textId="77701181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czynnościowa;</w:t>
            </w:r>
          </w:p>
          <w:p w14:paraId="494214AC" w14:textId="796E3209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70167856" w14:textId="7D84484C" w:rsidR="004833C7" w:rsidRPr="0052754C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nietolerancji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sildenafilu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01113C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913681D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8DF786" w14:textId="7E1BE0A0" w:rsidR="004833C7" w:rsidRPr="0052754C" w:rsidRDefault="004833C7" w:rsidP="008367DA">
            <w:pPr>
              <w:pStyle w:val="Akapitzlist"/>
              <w:numPr>
                <w:ilvl w:val="1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0E534A68" w14:textId="69C8AC23" w:rsidR="004833C7" w:rsidRPr="00471C19" w:rsidRDefault="004833C7" w:rsidP="00471C19">
            <w:pPr>
              <w:pStyle w:val="Akapitzlist"/>
              <w:numPr>
                <w:ilvl w:val="3"/>
                <w:numId w:val="6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471C1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I.2.2,</w:t>
            </w:r>
          </w:p>
          <w:p w14:paraId="2C5A37C6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C1A5F0E" w14:textId="0B0C52BE" w:rsidR="004833C7" w:rsidRPr="0052754C" w:rsidRDefault="004833C7" w:rsidP="008367DA">
            <w:pPr>
              <w:pStyle w:val="Akapitzlist"/>
              <w:numPr>
                <w:ilvl w:val="3"/>
                <w:numId w:val="6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</w:t>
            </w:r>
            <w:proofErr w:type="spellEnd"/>
          </w:p>
          <w:p w14:paraId="3ABD516F" w14:textId="75A0CDBE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zapobiegania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rozrodczym;</w:t>
            </w:r>
          </w:p>
          <w:p w14:paraId="0BE9F5C1" w14:textId="518E7C26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</w:p>
          <w:p w14:paraId="2985AC34" w14:textId="26FE4983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082C1E7C" w14:textId="0860D53F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wątroby;</w:t>
            </w:r>
          </w:p>
          <w:p w14:paraId="1F9A3B7D" w14:textId="51AC0E77" w:rsidR="004833C7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wyjściowa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&gt;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normy.</w:t>
            </w:r>
          </w:p>
          <w:p w14:paraId="78C83419" w14:textId="77777777" w:rsidR="007D0F68" w:rsidRPr="0052754C" w:rsidRDefault="007D0F68" w:rsidP="00E024E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CB912B" w14:textId="45C3972F" w:rsidR="004833C7" w:rsidRPr="0052754C" w:rsidRDefault="004833C7" w:rsidP="008367DA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Riocyguat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bosentanem</w:t>
            </w:r>
            <w:proofErr w:type="spellEnd"/>
          </w:p>
          <w:p w14:paraId="14637EAD" w14:textId="39237EA4" w:rsidR="004833C7" w:rsidRPr="0052754C" w:rsidRDefault="004833C7" w:rsidP="008367DA">
            <w:pPr>
              <w:pStyle w:val="Akapitzlist"/>
              <w:numPr>
                <w:ilvl w:val="1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2EEAEE76" w14:textId="27EC57E6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czynnościowa;</w:t>
            </w:r>
          </w:p>
          <w:p w14:paraId="536CE789" w14:textId="4A470B00" w:rsidR="004833C7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skojarzonej.</w:t>
            </w:r>
          </w:p>
          <w:p w14:paraId="7FC62ADB" w14:textId="77777777" w:rsidR="007D0F68" w:rsidRPr="0052754C" w:rsidRDefault="007D0F68" w:rsidP="00E024EA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3FB4AAA" w14:textId="4F81B276" w:rsidR="004833C7" w:rsidRPr="0052754C" w:rsidRDefault="004833C7" w:rsidP="008367DA">
            <w:pPr>
              <w:pStyle w:val="Akapitzlist"/>
              <w:numPr>
                <w:ilvl w:val="1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wyłączenia:</w:t>
            </w:r>
          </w:p>
          <w:p w14:paraId="2A6C11B5" w14:textId="0B4D8312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inhibitorów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PDE-5;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EF01E34" w14:textId="04B1C97B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umiarkowane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tj.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klasyfikacji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Child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CC37560" w14:textId="1B005948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trzykrotna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ośmiokrotna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GGN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17ABE76" w14:textId="3A49D29C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cyklosporyny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CE9A5DC" w14:textId="47FCFEE5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azotanów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uwalniających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tlenek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(takimi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azotyn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amylu;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6A8CBF76" w14:textId="4824F4AA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&lt;95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349A0A34" w14:textId="241BBCA4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4863BCB" w14:textId="2C2045C1" w:rsidR="004833C7" w:rsidRPr="0052754C" w:rsidRDefault="004833C7" w:rsidP="008367DA">
            <w:pPr>
              <w:pStyle w:val="Akapitzlist"/>
              <w:numPr>
                <w:ilvl w:val="2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nawracająca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redukcji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hipotensja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skurczowym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&lt;95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mmHg.</w:t>
            </w:r>
          </w:p>
          <w:p w14:paraId="1DD6C0AA" w14:textId="1B05C238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uszkodzenia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trzykrotność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transaminaz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2A9F7B9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D91565D" w14:textId="2BC35C72" w:rsidR="004833C7" w:rsidRPr="0052754C" w:rsidRDefault="004833C7" w:rsidP="008367DA">
            <w:pPr>
              <w:pStyle w:val="Akapitzlist"/>
              <w:numPr>
                <w:ilvl w:val="0"/>
                <w:numId w:val="5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Terapia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skojarzona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zastosowaniem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dwóch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trzech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poniższych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preparatów: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2BAB05AD" w14:textId="1F559A18" w:rsidR="004833C7" w:rsidRPr="0052754C" w:rsidRDefault="004833C7" w:rsidP="008367DA">
            <w:pPr>
              <w:pStyle w:val="Tekstkomentarza"/>
              <w:numPr>
                <w:ilvl w:val="3"/>
                <w:numId w:val="5"/>
              </w:numPr>
              <w:spacing w:after="60" w:line="276" w:lineRule="auto"/>
              <w:ind w:left="492" w:hanging="367"/>
              <w:rPr>
                <w:i/>
                <w:iCs/>
              </w:rPr>
            </w:pPr>
            <w:proofErr w:type="spellStart"/>
            <w:r w:rsidRPr="0052754C">
              <w:rPr>
                <w:b/>
              </w:rPr>
              <w:t>bosentan</w:t>
            </w:r>
            <w:proofErr w:type="spellEnd"/>
            <w:r w:rsidR="00AA3E18">
              <w:rPr>
                <w:b/>
              </w:rPr>
              <w:t xml:space="preserve"> </w:t>
            </w:r>
          </w:p>
          <w:p w14:paraId="5B059A28" w14:textId="088BB13C" w:rsidR="004833C7" w:rsidRPr="0052754C" w:rsidRDefault="004833C7" w:rsidP="008367DA">
            <w:pPr>
              <w:pStyle w:val="Akapitzlist"/>
              <w:numPr>
                <w:ilvl w:val="3"/>
                <w:numId w:val="5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</w:t>
            </w:r>
            <w:proofErr w:type="spellEnd"/>
          </w:p>
          <w:p w14:paraId="00F7E859" w14:textId="745FF727" w:rsidR="004833C7" w:rsidRPr="0052754C" w:rsidRDefault="004833C7" w:rsidP="008367DA">
            <w:pPr>
              <w:pStyle w:val="Akapitzlist"/>
              <w:numPr>
                <w:ilvl w:val="3"/>
                <w:numId w:val="5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treprostinil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41993C74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B108BB" w14:textId="3D2AC71B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58A8C406" w14:textId="5C92F3B1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</w:p>
          <w:p w14:paraId="5D750F11" w14:textId="77777777" w:rsidR="004833C7" w:rsidRPr="007D0F68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lub</w:t>
            </w:r>
          </w:p>
          <w:p w14:paraId="6ECFE6CD" w14:textId="62C45E7B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</w:p>
          <w:p w14:paraId="38D62854" w14:textId="77777777" w:rsidR="004833C7" w:rsidRPr="007D0F68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0AD6010D" w14:textId="7BEA77C0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przeszczepienie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wrotnym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epoprostenolu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AFCB6A3" w14:textId="1D6E0E5A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1455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antagonistami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receptora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endoteliny</w:t>
            </w:r>
            <w:proofErr w:type="spellEnd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1B244CB" w14:textId="6EC0FBF2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uszkodzenia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trzykrotność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warunkiem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zmniejszenia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transaminaz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5304B0C" w14:textId="012AA497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składowych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lekarza.</w:t>
            </w:r>
          </w:p>
          <w:p w14:paraId="08BBFCF4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E3DE34" w14:textId="75076CCB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76D04841" w14:textId="50110ACC" w:rsidR="004833C7" w:rsidRPr="0052754C" w:rsidRDefault="004833C7" w:rsidP="008367DA">
            <w:pPr>
              <w:pStyle w:val="Akapitzlist"/>
              <w:numPr>
                <w:ilvl w:val="3"/>
                <w:numId w:val="7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1.2,</w:t>
            </w:r>
          </w:p>
          <w:p w14:paraId="2F70DDE0" w14:textId="65D65FF8" w:rsidR="004833C7" w:rsidRPr="0052754C" w:rsidRDefault="004833C7" w:rsidP="008367DA">
            <w:pPr>
              <w:pStyle w:val="Akapitzlist"/>
              <w:numPr>
                <w:ilvl w:val="3"/>
                <w:numId w:val="7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2.2,</w:t>
            </w:r>
          </w:p>
          <w:p w14:paraId="17FCA262" w14:textId="21399CEC" w:rsidR="004833C7" w:rsidRPr="0052754C" w:rsidRDefault="004833C7" w:rsidP="008367DA">
            <w:pPr>
              <w:pStyle w:val="Akapitzlist"/>
              <w:numPr>
                <w:ilvl w:val="3"/>
                <w:numId w:val="7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b,</w:t>
            </w:r>
          </w:p>
          <w:p w14:paraId="51EE526E" w14:textId="420F87F3" w:rsidR="004833C7" w:rsidRPr="0052754C" w:rsidRDefault="004833C7" w:rsidP="008367DA">
            <w:pPr>
              <w:pStyle w:val="Akapitzlist"/>
              <w:numPr>
                <w:ilvl w:val="3"/>
                <w:numId w:val="7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c,</w:t>
            </w:r>
          </w:p>
          <w:p w14:paraId="3EDD3514" w14:textId="1AA0F4A1" w:rsidR="004833C7" w:rsidRPr="0052754C" w:rsidRDefault="004833C7" w:rsidP="008367DA">
            <w:pPr>
              <w:pStyle w:val="Akapitzlist"/>
              <w:numPr>
                <w:ilvl w:val="3"/>
                <w:numId w:val="7"/>
              </w:numPr>
              <w:spacing w:after="60"/>
              <w:ind w:left="492" w:hanging="425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2.2.</w:t>
            </w:r>
          </w:p>
          <w:p w14:paraId="474A286A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2FD56C9" w14:textId="38F29FA1" w:rsidR="004833C7" w:rsidRPr="0052754C" w:rsidRDefault="004833C7" w:rsidP="008367DA">
            <w:pPr>
              <w:pStyle w:val="Akapitzlist"/>
              <w:numPr>
                <w:ilvl w:val="0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bosentanem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epoprostenol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macytentanem</w:t>
            </w:r>
            <w:proofErr w:type="spellEnd"/>
          </w:p>
          <w:p w14:paraId="5D35ACDB" w14:textId="3ADDC226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6F354238" w14:textId="16F29281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93A576D" w14:textId="3B38DB58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6C8D92E" w14:textId="5606A93C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Kolejność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składowych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lekarza.</w:t>
            </w:r>
          </w:p>
          <w:p w14:paraId="4240B139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pl-PL"/>
              </w:rPr>
            </w:pPr>
          </w:p>
          <w:p w14:paraId="46DBA6AE" w14:textId="3D1229FB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pacing w:val="1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  <w:lang w:eastAsia="pl-PL"/>
              </w:rPr>
              <w:t>wyłączenia</w:t>
            </w:r>
          </w:p>
          <w:p w14:paraId="73964C48" w14:textId="2E7A9B1E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71C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1.2,</w:t>
            </w:r>
          </w:p>
          <w:p w14:paraId="67F955A6" w14:textId="37E7E179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71C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1.2.b,</w:t>
            </w:r>
          </w:p>
          <w:p w14:paraId="6357A5EE" w14:textId="460E0FF7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71C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I.2.2,</w:t>
            </w:r>
          </w:p>
          <w:p w14:paraId="3485997E" w14:textId="52D04A2C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471C19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2.2.</w:t>
            </w:r>
          </w:p>
          <w:p w14:paraId="045E3E2F" w14:textId="77777777" w:rsidR="004833C7" w:rsidRPr="0052754C" w:rsidRDefault="004833C7" w:rsidP="00E024EA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E844886" w14:textId="35D1103E" w:rsidR="004833C7" w:rsidRPr="0052754C" w:rsidRDefault="004833C7" w:rsidP="008367DA">
            <w:pPr>
              <w:pStyle w:val="Akapitzlist"/>
              <w:numPr>
                <w:ilvl w:val="0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Seleksypag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bosentanem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(lub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macytentanem</w:t>
            </w:r>
            <w:proofErr w:type="spellEnd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3D1164C9" w14:textId="42B8E4E2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włączenia</w:t>
            </w:r>
          </w:p>
          <w:p w14:paraId="5F545519" w14:textId="0E7263D7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skojarzonej;</w:t>
            </w:r>
          </w:p>
          <w:p w14:paraId="4151975E" w14:textId="35CA17CB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</w:p>
          <w:p w14:paraId="22FD1234" w14:textId="27CE6114" w:rsidR="004833C7" w:rsidRPr="007D0F68" w:rsidRDefault="007D0F68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olejność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składowych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lekarza.</w:t>
            </w:r>
          </w:p>
          <w:p w14:paraId="61B01D0B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572C20" w14:textId="43F5866B" w:rsidR="004833C7" w:rsidRPr="0052754C" w:rsidRDefault="004833C7" w:rsidP="008367DA">
            <w:pPr>
              <w:pStyle w:val="Akapitzlist"/>
              <w:numPr>
                <w:ilvl w:val="1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</w:p>
          <w:p w14:paraId="7744AE80" w14:textId="3A4AC153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charakterystyce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produktu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leczniczego;</w:t>
            </w:r>
          </w:p>
          <w:p w14:paraId="20E74D67" w14:textId="5EBD2B50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(grupa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Child-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Pugha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64912748" w14:textId="4D62514F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wieńcowa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niestabilna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dławica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piersiowa;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F9CDE35" w14:textId="0A404DDB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mięśnia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005640F" w14:textId="7264E006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Niewyrównana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niewydolność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krążenia,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ścisłą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obserwacją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9DC4DE4" w14:textId="532BABD9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arytmie;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3A517BD" w14:textId="359FABDC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Zdarzenia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mózgowo-naczyniowe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(np.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przemijający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napad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niedokrwienny,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udar)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ostatnich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miesięcy;</w:t>
            </w:r>
          </w:p>
          <w:p w14:paraId="1F8CADCA" w14:textId="7E65AC02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Wrodzone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nabyte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zastawkowe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płucnym;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2F3E93C" w14:textId="6BEA62B0" w:rsidR="004833C7" w:rsidRPr="0052754C" w:rsidRDefault="004833C7" w:rsidP="008367DA">
            <w:pPr>
              <w:pStyle w:val="Akapitzlist"/>
              <w:numPr>
                <w:ilvl w:val="2"/>
                <w:numId w:val="7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pozostałych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doustnych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punktami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1.2.b.</w:t>
            </w:r>
          </w:p>
          <w:p w14:paraId="5E28CCA5" w14:textId="51A23670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wynikających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działań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ubocznych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trzech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istnieje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użyciu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dwóch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pozostałych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leków.</w:t>
            </w:r>
          </w:p>
          <w:p w14:paraId="4CE57637" w14:textId="65A00D5A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Selexipag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powinien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dołączany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dodanie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zamiast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uszkodzenia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podczas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trzykrotność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ustąpiło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odstawieniu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+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+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dołączenie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rzutu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wiązało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poprawą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nadal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zostały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osiągnięte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terapeutyczne.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229AEDE" w14:textId="77777777" w:rsidR="00801455" w:rsidRPr="0052754C" w:rsidRDefault="00801455" w:rsidP="00E024EA">
            <w:pPr>
              <w:spacing w:after="6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50F104" w14:textId="49971358" w:rsidR="004833C7" w:rsidRPr="007D0F68" w:rsidRDefault="007D0F68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B.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dzieci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(&lt;18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lat)</w:t>
            </w:r>
          </w:p>
          <w:p w14:paraId="48C67795" w14:textId="1255942F" w:rsidR="004833C7" w:rsidRPr="007D0F68" w:rsidRDefault="007D0F68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POCZĄTKOWE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4833C7"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(MONOTERAPIA)</w:t>
            </w:r>
          </w:p>
          <w:p w14:paraId="2366D77B" w14:textId="1C19B4F7" w:rsidR="004833C7" w:rsidRPr="0052754C" w:rsidRDefault="004833C7" w:rsidP="008367DA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Bosentan</w:t>
            </w:r>
            <w:proofErr w:type="spellEnd"/>
          </w:p>
          <w:p w14:paraId="3A68D735" w14:textId="5EE8CD8A" w:rsidR="004833C7" w:rsidRPr="0052754C" w:rsidRDefault="004833C7" w:rsidP="008367DA">
            <w:pPr>
              <w:pStyle w:val="Akapitzlist"/>
              <w:numPr>
                <w:ilvl w:val="1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6314F168" w14:textId="0F515F37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czynnościowa.</w:t>
            </w:r>
          </w:p>
          <w:p w14:paraId="357E04DD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E8D6335" w14:textId="07A64844" w:rsidR="004833C7" w:rsidRPr="0052754C" w:rsidRDefault="004833C7" w:rsidP="008367DA">
            <w:pPr>
              <w:pStyle w:val="Akapitzlist"/>
              <w:numPr>
                <w:ilvl w:val="1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5123C8B0" w14:textId="53385E6C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wada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płucnym,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istnieje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operacyjnego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oczekiwania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zabiegu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operacyjnego);</w:t>
            </w:r>
          </w:p>
          <w:p w14:paraId="64D6D902" w14:textId="48E7902E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umiarkowane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wątroby;</w:t>
            </w:r>
          </w:p>
          <w:p w14:paraId="21501019" w14:textId="776FE023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aktywność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&gt;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wartość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górnej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granicy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normy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(GGN)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&gt;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GGN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trakcie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178657EA" w14:textId="572099BC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antykoncepcji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miesiączkujących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dziewcząt;</w:t>
            </w:r>
          </w:p>
          <w:p w14:paraId="17E774C4" w14:textId="455F5FF7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wymienione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57744FE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B9E8A2E" w14:textId="27209B0C" w:rsidR="004833C7" w:rsidRPr="0052754C" w:rsidRDefault="004833C7" w:rsidP="008367DA">
            <w:pPr>
              <w:pStyle w:val="Akapitzlist"/>
              <w:numPr>
                <w:ilvl w:val="0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639313BA" w14:textId="083C636F" w:rsidR="004833C7" w:rsidRPr="0052754C" w:rsidRDefault="004833C7" w:rsidP="008367DA">
            <w:pPr>
              <w:pStyle w:val="Akapitzlist"/>
              <w:numPr>
                <w:ilvl w:val="1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1C68A43C" w14:textId="34250738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I-III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czynnościowa.</w:t>
            </w:r>
          </w:p>
          <w:p w14:paraId="75714738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5C61CBE" w14:textId="164603E4" w:rsidR="004833C7" w:rsidRPr="0052754C" w:rsidRDefault="004833C7" w:rsidP="008367DA">
            <w:pPr>
              <w:pStyle w:val="Akapitzlist"/>
              <w:numPr>
                <w:ilvl w:val="1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6C495FFD" w14:textId="7862637F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wrodzona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wada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płucnym,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istnieje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operacyjnego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oczekiwania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zabiegu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operacyjnego);</w:t>
            </w:r>
          </w:p>
          <w:p w14:paraId="55F46B3D" w14:textId="71A5EDAE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ciężkie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Child-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Pugh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);</w:t>
            </w:r>
          </w:p>
          <w:p w14:paraId="1CC2E698" w14:textId="4EB7F517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jednoczesne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przeciwgrzybiczych,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przeciwwirusowych,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immunosupresyjnych,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glibenklamidu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rifampicyny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C150A1D" w14:textId="20245617" w:rsidR="004833C7" w:rsidRPr="0052754C" w:rsidRDefault="004833C7" w:rsidP="008367DA">
            <w:pPr>
              <w:pStyle w:val="Akapitzlist"/>
              <w:numPr>
                <w:ilvl w:val="2"/>
                <w:numId w:val="8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retinitis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pigmetosa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utrata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wzroku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nietętniczej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przedniej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niedokrwiennej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neuropatii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nerwu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wzrokowego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(NAION).</w:t>
            </w:r>
          </w:p>
          <w:p w14:paraId="4E3203E1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CBA6A0" w14:textId="3687DAF9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</w:t>
            </w:r>
            <w:r w:rsid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RZUTU</w:t>
            </w:r>
          </w:p>
          <w:p w14:paraId="6F766BEB" w14:textId="2F6375B7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II.A.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MONOTERAPIA</w:t>
            </w:r>
          </w:p>
          <w:p w14:paraId="2D17014C" w14:textId="623D5E34" w:rsidR="004833C7" w:rsidRPr="0052754C" w:rsidRDefault="004833C7" w:rsidP="008367DA">
            <w:pPr>
              <w:numPr>
                <w:ilvl w:val="0"/>
                <w:numId w:val="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Monoterapia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treprostinilem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iloprostem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epoprostenolem</w:t>
            </w:r>
            <w:proofErr w:type="spellEnd"/>
          </w:p>
          <w:p w14:paraId="29323437" w14:textId="19CAFD9A" w:rsidR="004833C7" w:rsidRPr="0052754C" w:rsidRDefault="004833C7" w:rsidP="008367DA">
            <w:pPr>
              <w:numPr>
                <w:ilvl w:val="1"/>
                <w:numId w:val="9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0609F4C8" w14:textId="650C8AB6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A.II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zastrzeżeniem,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kryterium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stosuje.</w:t>
            </w:r>
          </w:p>
          <w:p w14:paraId="4700451E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686D08" w14:textId="7B673F3E" w:rsidR="004833C7" w:rsidRPr="007D0F68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II.B.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TERAPIA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7D0F6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SKOJARZONA</w:t>
            </w:r>
          </w:p>
          <w:p w14:paraId="36FD4E9C" w14:textId="5EF88AB4" w:rsidR="004833C7" w:rsidRPr="0052754C" w:rsidRDefault="004833C7" w:rsidP="008367DA">
            <w:pPr>
              <w:pStyle w:val="Akapitzlist"/>
              <w:numPr>
                <w:ilvl w:val="0"/>
                <w:numId w:val="10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Terapia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skojarzona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zastosowaniem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dwóch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trzech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poniższych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preparatów: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2EBD7D08" w14:textId="1CEBA54B" w:rsidR="004833C7" w:rsidRPr="0052754C" w:rsidRDefault="004833C7" w:rsidP="008367DA">
            <w:pPr>
              <w:pStyle w:val="Akapitzlist"/>
              <w:numPr>
                <w:ilvl w:val="3"/>
                <w:numId w:val="10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367264E3" w14:textId="2A130053" w:rsidR="004833C7" w:rsidRPr="0052754C" w:rsidRDefault="004833C7" w:rsidP="008367DA">
            <w:pPr>
              <w:pStyle w:val="Akapitzlist"/>
              <w:numPr>
                <w:ilvl w:val="3"/>
                <w:numId w:val="10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</w:p>
          <w:p w14:paraId="5D952F28" w14:textId="226B002C" w:rsidR="004833C7" w:rsidRPr="0052754C" w:rsidRDefault="004833C7" w:rsidP="008367DA">
            <w:pPr>
              <w:pStyle w:val="Akapitzlist"/>
              <w:numPr>
                <w:ilvl w:val="3"/>
                <w:numId w:val="10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treprostinil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F3EF171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C142B5" w14:textId="574AD13D" w:rsidR="004833C7" w:rsidRPr="0052754C" w:rsidRDefault="004833C7" w:rsidP="008367DA">
            <w:pPr>
              <w:pStyle w:val="Akapitzlist"/>
              <w:numPr>
                <w:ilvl w:val="1"/>
                <w:numId w:val="1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włączenia</w:t>
            </w:r>
          </w:p>
          <w:p w14:paraId="4D28FE9B" w14:textId="4078F918" w:rsidR="004833C7" w:rsidRPr="0052754C" w:rsidRDefault="004833C7" w:rsidP="008367DA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nieskuteczne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źle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przewidzianych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</w:p>
          <w:p w14:paraId="38BC6D08" w14:textId="77777777" w:rsidR="004833C7" w:rsidRPr="00E024EA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2FAF94E3" w14:textId="49A66DBA" w:rsidR="004833C7" w:rsidRPr="0052754C" w:rsidRDefault="004833C7" w:rsidP="008367DA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klasa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czynnościowa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momencie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dotychczasowego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</w:p>
          <w:p w14:paraId="7DEF9F27" w14:textId="77777777" w:rsidR="004833C7" w:rsidRPr="00E024EA" w:rsidRDefault="004833C7" w:rsidP="00E024EA">
            <w:pPr>
              <w:spacing w:after="60"/>
              <w:ind w:left="227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</w:p>
          <w:p w14:paraId="6CB9A170" w14:textId="54682650" w:rsidR="004833C7" w:rsidRPr="0052754C" w:rsidRDefault="004833C7" w:rsidP="008367DA">
            <w:pPr>
              <w:pStyle w:val="Akapitzlist"/>
              <w:numPr>
                <w:ilvl w:val="2"/>
                <w:numId w:val="1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przeszczepienie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wątroby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nadciśnieniem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wrotnym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epoprostenolu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666D2EAE" w14:textId="65129997" w:rsidR="004833C7" w:rsidRPr="00E024EA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antagonistami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receptora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endoteliny</w:t>
            </w:r>
            <w:proofErr w:type="spellEnd"/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BE9EF0A" w14:textId="6520D9A1" w:rsidR="004833C7" w:rsidRPr="00E024EA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Kolejność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poszczególnych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składowych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lekarza.</w:t>
            </w:r>
          </w:p>
          <w:p w14:paraId="78840B93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BD0866" w14:textId="05529C48" w:rsidR="004833C7" w:rsidRPr="0052754C" w:rsidRDefault="004833C7" w:rsidP="008367DA">
            <w:pPr>
              <w:pStyle w:val="Akapitzlist"/>
              <w:numPr>
                <w:ilvl w:val="1"/>
                <w:numId w:val="11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</w:p>
          <w:p w14:paraId="7AF836F3" w14:textId="3EB0E2F1" w:rsidR="004833C7" w:rsidRPr="0052754C" w:rsidRDefault="004833C7" w:rsidP="008367DA">
            <w:pPr>
              <w:pStyle w:val="Akapitzlist"/>
              <w:numPr>
                <w:ilvl w:val="3"/>
                <w:numId w:val="11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861D4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F60F8E6" w14:textId="050155D9" w:rsidR="004833C7" w:rsidRPr="0052754C" w:rsidRDefault="004833C7" w:rsidP="008367DA">
            <w:pPr>
              <w:pStyle w:val="Akapitzlist"/>
              <w:numPr>
                <w:ilvl w:val="3"/>
                <w:numId w:val="11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861D4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</w:t>
            </w:r>
            <w:r w:rsid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6394354" w14:textId="4BB7C89C" w:rsidR="004833C7" w:rsidRPr="0052754C" w:rsidRDefault="004833C7" w:rsidP="008367DA">
            <w:pPr>
              <w:pStyle w:val="Akapitzlist"/>
              <w:numPr>
                <w:ilvl w:val="3"/>
                <w:numId w:val="11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</w:t>
            </w:r>
            <w:r w:rsid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DD8DB10" w14:textId="1D5A42F8" w:rsidR="004833C7" w:rsidRPr="0052754C" w:rsidRDefault="004833C7" w:rsidP="008367DA">
            <w:pPr>
              <w:pStyle w:val="Akapitzlist"/>
              <w:numPr>
                <w:ilvl w:val="3"/>
                <w:numId w:val="11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</w:t>
            </w:r>
            <w:r w:rsid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358BDB8" w14:textId="6FF5C443" w:rsidR="004833C7" w:rsidRPr="0052754C" w:rsidRDefault="004833C7" w:rsidP="008367DA">
            <w:pPr>
              <w:pStyle w:val="Akapitzlist"/>
              <w:numPr>
                <w:ilvl w:val="3"/>
                <w:numId w:val="11"/>
              </w:numPr>
              <w:spacing w:after="60"/>
              <w:ind w:left="492" w:hanging="36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epoprostenol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punkcie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II.A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2.2</w:t>
            </w:r>
            <w:r w:rsid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E730B91" w14:textId="77777777" w:rsidR="004833C7" w:rsidRPr="0052754C" w:rsidRDefault="004833C7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8F9DB4" w14:textId="4FD73E2C" w:rsidR="004833C7" w:rsidRPr="00E024EA" w:rsidRDefault="00E024EA" w:rsidP="00E024EA">
            <w:p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lastRenderedPageBreak/>
              <w:t>C.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KONTYNUACJA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OSÓB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PRZEKRACZAJĄCYCH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WIEK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18</w:t>
            </w:r>
            <w:r w:rsidR="00AA3E18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LAT</w:t>
            </w:r>
          </w:p>
          <w:p w14:paraId="2702AC59" w14:textId="2195C84F" w:rsidR="004833C7" w:rsidRDefault="004833C7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ukończył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był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leczony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ramach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ośrodku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pediatrycznym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stanowi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udziału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wymaga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ponownej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kwalifikacji.</w:t>
            </w:r>
          </w:p>
          <w:p w14:paraId="4D5C14A5" w14:textId="0D483AC1" w:rsidR="00E024EA" w:rsidRPr="00E024EA" w:rsidRDefault="00E024EA" w:rsidP="00E024E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0D8C1" w14:textId="71E5BC40" w:rsidR="004833C7" w:rsidRPr="00E024EA" w:rsidRDefault="00E024EA" w:rsidP="00E024EA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u w:val="single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lastRenderedPageBreak/>
              <w:t>A.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dorosłych</w:t>
            </w:r>
          </w:p>
          <w:p w14:paraId="2FD843A6" w14:textId="1831DEC0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bosentanu</w:t>
            </w:r>
            <w:proofErr w:type="spellEnd"/>
          </w:p>
          <w:p w14:paraId="16A8017D" w14:textId="2187E797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64DC524" w14:textId="0AD30644" w:rsidR="004833C7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analogiczne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EACD2AB" w14:textId="77777777" w:rsidR="00E024EA" w:rsidRPr="0052754C" w:rsidRDefault="00E024EA" w:rsidP="00E024EA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090E0C7" w14:textId="1D5A4063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iloprostu</w:t>
            </w:r>
            <w:proofErr w:type="spellEnd"/>
          </w:p>
          <w:p w14:paraId="410BFEF2" w14:textId="79284AD1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04405CCA" w14:textId="4196E73E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analogiczne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343460D0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872E493" w14:textId="7D532B24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treprostinilu</w:t>
            </w:r>
            <w:proofErr w:type="spellEnd"/>
          </w:p>
          <w:p w14:paraId="4AB7D383" w14:textId="3515EDD3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dostosowywana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od:</w:t>
            </w:r>
          </w:p>
          <w:p w14:paraId="093A28F4" w14:textId="423F435D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pacjenta;</w:t>
            </w:r>
          </w:p>
          <w:p w14:paraId="1741BC62" w14:textId="56819DEA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leczenie;</w:t>
            </w:r>
          </w:p>
          <w:p w14:paraId="4FE4C7BA" w14:textId="706D86D6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6CF1964" w14:textId="27DAB470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dążenia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osiągnięcia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ESC,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ERS,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AEPC.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20DDD9B" w14:textId="4B8D65ED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Przykładowe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2DAD126D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A8B6BD" w14:textId="3A036069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lastRenderedPageBreak/>
              <w:t>Dawkowanie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sildenafilu</w:t>
            </w:r>
            <w:proofErr w:type="spellEnd"/>
          </w:p>
          <w:p w14:paraId="5A775404" w14:textId="1E122B06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podstawowa: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dziennie.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EDEF1C0" w14:textId="71B49C98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nieinwazyjnymi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cewnikowaniem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prawego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serca,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opisem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istnieje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możliwość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maksymalnie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dziennie.</w:t>
            </w:r>
          </w:p>
          <w:p w14:paraId="571179DA" w14:textId="615EC18F" w:rsidR="004833C7" w:rsidRPr="00E024EA" w:rsidRDefault="004833C7" w:rsidP="00E024EA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</w:pPr>
            <w:proofErr w:type="spellStart"/>
            <w:r w:rsidRPr="00E024EA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postaci</w:t>
            </w:r>
            <w:r w:rsidR="00AA3E18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zawiesiny</w:t>
            </w:r>
            <w:r w:rsidR="00AA3E18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>doustnej</w:t>
            </w:r>
            <w:r w:rsidR="00AA3E18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stosuje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się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wyłącznie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nietolerancji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niemożliwości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podania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postaci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stałej.</w:t>
            </w:r>
          </w:p>
          <w:p w14:paraId="547C790F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63D1E9F" w14:textId="792D0FF3" w:rsidR="004833C7" w:rsidRPr="0052754C" w:rsidRDefault="004833C7" w:rsidP="008367DA">
            <w:pPr>
              <w:widowControl w:val="0"/>
              <w:numPr>
                <w:ilvl w:val="0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epoprostenolu</w:t>
            </w:r>
            <w:proofErr w:type="spellEnd"/>
          </w:p>
          <w:p w14:paraId="31CCA25D" w14:textId="5C44C765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dostosowywana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od:</w:t>
            </w:r>
          </w:p>
          <w:p w14:paraId="127D9325" w14:textId="4DC45C65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pacjenta;</w:t>
            </w:r>
          </w:p>
          <w:p w14:paraId="76829F3F" w14:textId="24C17F29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odpowiedzi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leczenie;</w:t>
            </w:r>
          </w:p>
          <w:p w14:paraId="0C24258E" w14:textId="21F61BB9" w:rsidR="004833C7" w:rsidRPr="0052754C" w:rsidRDefault="004833C7" w:rsidP="008367DA">
            <w:pPr>
              <w:numPr>
                <w:ilvl w:val="2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1C18131" w14:textId="5CCB73C8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dążenia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osiągnięcia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ESC,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ERS,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AEPC.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57860F03" w14:textId="51DF6C15" w:rsidR="004833C7" w:rsidRPr="0052754C" w:rsidRDefault="004833C7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Przykładowe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schematy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przedstawione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CFADA9A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EA13118" w14:textId="37F2F9F5" w:rsidR="004833C7" w:rsidRPr="0052754C" w:rsidRDefault="004833C7" w:rsidP="008367DA">
            <w:pPr>
              <w:widowControl w:val="0"/>
              <w:numPr>
                <w:ilvl w:val="0"/>
                <w:numId w:val="12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macytentanu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sildenafilu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skojarzonej</w:t>
            </w:r>
          </w:p>
          <w:p w14:paraId="18E535D2" w14:textId="3D89E8AF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</w:pPr>
            <w:r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</w:t>
            </w:r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macytentanu</w:t>
            </w:r>
            <w:proofErr w:type="spellEnd"/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:</w:t>
            </w:r>
            <w:r w:rsidR="00AA3E1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10</w:t>
            </w:r>
            <w:r w:rsidR="00AA3E1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raz</w:t>
            </w:r>
            <w:r w:rsidR="00AA3E18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dziennie;</w:t>
            </w:r>
          </w:p>
          <w:p w14:paraId="2C4E736F" w14:textId="6FDA5D70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D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sildenafilu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dziennie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pacjentów,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otrzymywali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taką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8AF415D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</w:p>
          <w:p w14:paraId="566B7708" w14:textId="4AB8E193" w:rsidR="004833C7" w:rsidRPr="0052754C" w:rsidRDefault="004833C7" w:rsidP="008367D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riocyguatu</w:t>
            </w:r>
            <w:proofErr w:type="spellEnd"/>
          </w:p>
          <w:p w14:paraId="73C25D79" w14:textId="6531439F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BB1B1F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0288D68F" w14:textId="5F35C90B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analogiczne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69BD921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3E5B523" w14:textId="5511174A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seleksypagu</w:t>
            </w:r>
            <w:proofErr w:type="spellEnd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sildeanfilu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bosentanu</w:t>
            </w:r>
            <w:proofErr w:type="spellEnd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/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macytentanu</w:t>
            </w:r>
            <w:proofErr w:type="spellEnd"/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skojarzonej</w:t>
            </w:r>
          </w:p>
          <w:p w14:paraId="7F04E7FD" w14:textId="48BEAC6D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seleksypagu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F70A4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(dawka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dobrana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μg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1600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μg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wynosi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μg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h;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następuje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przyrostach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μg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dobę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odstępach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tygodniowych).</w:t>
            </w:r>
          </w:p>
          <w:p w14:paraId="7A44E31F" w14:textId="1BACAFA8" w:rsidR="00EF70A4" w:rsidRPr="0052754C" w:rsidRDefault="00EF70A4" w:rsidP="00E024EA">
            <w:pPr>
              <w:pStyle w:val="Akapitzlist"/>
              <w:autoSpaceDE w:val="0"/>
              <w:autoSpaceDN w:val="0"/>
              <w:adjustRightInd w:val="0"/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zawierajcie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140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tabletek,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200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μg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seleksypagu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(etap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miareczkowania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stabilizacji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dawki)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nieprzekraczającej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dla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jednego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pacjenta.</w:t>
            </w:r>
          </w:p>
          <w:p w14:paraId="3FCA132C" w14:textId="1CEC2795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sildenafilu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64E6303" w14:textId="7CDC24D1" w:rsidR="004833C7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bosentanu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5AC152AC" w14:textId="494ACEEC" w:rsidR="0001113C" w:rsidRPr="0052754C" w:rsidRDefault="00636E10" w:rsidP="008367DA">
            <w:pPr>
              <w:pStyle w:val="Akapitzlist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4833C7"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458D6B4C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D5A2224" w14:textId="31668413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początkowym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zamiennie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</w:p>
          <w:p w14:paraId="65DCAF9E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E4A39DB" w14:textId="4682FD36" w:rsidR="004833C7" w:rsidRPr="0052754C" w:rsidRDefault="004833C7" w:rsidP="008367DA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czynne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rzutu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macytentan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sildenafilem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iloprost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treprostinil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epoprostenol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riocyguat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riocyguat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bosentanem</w:t>
            </w:r>
            <w:proofErr w:type="spellEnd"/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dwulekowe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trójlekowe)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mogą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zamiennie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</w:p>
          <w:p w14:paraId="44A8D2FF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pl-PL"/>
              </w:rPr>
            </w:pPr>
          </w:p>
          <w:p w14:paraId="1BB35BAD" w14:textId="653EB51B" w:rsidR="004833C7" w:rsidRPr="00E024EA" w:rsidRDefault="00E024EA" w:rsidP="00E024E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B.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TNP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u</w:t>
            </w:r>
            <w:r w:rsidR="00AA3E18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/>
                <w:bCs/>
                <w:u w:val="single"/>
                <w:lang w:eastAsia="pl-PL"/>
              </w:rPr>
              <w:t>dzieci</w:t>
            </w:r>
          </w:p>
          <w:p w14:paraId="04641A66" w14:textId="49D5E0F0" w:rsidR="00E024EA" w:rsidRDefault="004833C7" w:rsidP="008367DA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bosentanem</w:t>
            </w:r>
            <w:proofErr w:type="spellEnd"/>
          </w:p>
          <w:p w14:paraId="46DF46EA" w14:textId="65F9177C" w:rsidR="004833C7" w:rsidRPr="00E024EA" w:rsidRDefault="00E024EA" w:rsidP="00E024E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D</w:t>
            </w:r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awkowanie</w:t>
            </w:r>
            <w:r w:rsidR="00AA3E18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skojarzonej:</w:t>
            </w:r>
          </w:p>
          <w:p w14:paraId="7EB05339" w14:textId="7341D0F5" w:rsidR="004833C7" w:rsidRPr="0052754C" w:rsidRDefault="004833C7" w:rsidP="008367D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równa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mniejsza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podtrzymująca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m.c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dobę;</w:t>
            </w:r>
          </w:p>
          <w:p w14:paraId="4D75B834" w14:textId="2BC2DADE" w:rsidR="004833C7" w:rsidRPr="0052754C" w:rsidRDefault="004833C7" w:rsidP="008367D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masa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ciała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kg,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początkowa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(4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tygodnie)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31,25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dobę,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podtrzymująca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62,5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dobę;</w:t>
            </w:r>
          </w:p>
          <w:p w14:paraId="38287E87" w14:textId="62B64189" w:rsidR="004833C7" w:rsidRPr="0052754C" w:rsidRDefault="004833C7" w:rsidP="008367DA">
            <w:pPr>
              <w:numPr>
                <w:ilvl w:val="2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masa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ciała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większa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kg,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początkowa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(4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tygodnie)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62,5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dobę,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dawka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podtrzymująca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dwa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dobę.</w:t>
            </w:r>
          </w:p>
          <w:p w14:paraId="048AE081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ED37813" w14:textId="35EBB38B" w:rsidR="004833C7" w:rsidRPr="0052754C" w:rsidRDefault="004833C7" w:rsidP="008367DA">
            <w:pPr>
              <w:widowControl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eastAsia="pl-PL"/>
              </w:rPr>
              <w:t>L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pl-PL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  <w:lang w:eastAsia="pl-PL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eastAsia="pl-PL"/>
              </w:rPr>
              <w:t>sildenafilem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pacing w:val="-7"/>
                <w:sz w:val="20"/>
                <w:szCs w:val="20"/>
                <w:lang w:eastAsia="pl-PL"/>
              </w:rPr>
              <w:t xml:space="preserve"> </w:t>
            </w:r>
          </w:p>
          <w:p w14:paraId="71B2481E" w14:textId="7FE539E9" w:rsidR="004833C7" w:rsidRPr="00E024EA" w:rsidRDefault="004833C7" w:rsidP="00E024EA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skojarzonej:</w:t>
            </w:r>
          </w:p>
          <w:p w14:paraId="5F859138" w14:textId="4F4699D0" w:rsidR="004833C7" w:rsidRPr="0052754C" w:rsidRDefault="004833C7" w:rsidP="008367DA">
            <w:pPr>
              <w:widowControl w:val="0"/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dziennie;</w:t>
            </w:r>
          </w:p>
          <w:p w14:paraId="222107F5" w14:textId="5C1CD3EB" w:rsidR="004833C7" w:rsidRPr="0052754C" w:rsidRDefault="004833C7" w:rsidP="008367DA">
            <w:pPr>
              <w:widowControl w:val="0"/>
              <w:numPr>
                <w:ilvl w:val="2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masa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ciała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kg: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dziennie.</w:t>
            </w:r>
          </w:p>
          <w:p w14:paraId="683B0A15" w14:textId="77777777" w:rsidR="004833C7" w:rsidRPr="0052754C" w:rsidRDefault="004833C7" w:rsidP="00E024EA">
            <w:pPr>
              <w:widowControl w:val="0"/>
              <w:spacing w:after="60" w:line="276" w:lineRule="auto"/>
              <w:ind w:firstLine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BFEBDCB" w14:textId="22CCDF88" w:rsidR="00636E10" w:rsidRPr="0052754C" w:rsidRDefault="004833C7" w:rsidP="008367DA">
            <w:pPr>
              <w:widowControl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Leczenie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iloprostem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epoprostenolem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treprostynilem</w:t>
            </w:r>
            <w:proofErr w:type="spellEnd"/>
          </w:p>
          <w:p w14:paraId="36C3D962" w14:textId="6C890DDD" w:rsidR="004833C7" w:rsidRPr="00E024EA" w:rsidRDefault="00636E10" w:rsidP="00E024EA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awka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dostosowywana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indywidualnie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833C7"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od:</w:t>
            </w:r>
          </w:p>
          <w:p w14:paraId="127746C4" w14:textId="6C71A930" w:rsidR="004833C7" w:rsidRPr="0052754C" w:rsidRDefault="004833C7" w:rsidP="008367DA">
            <w:pPr>
              <w:pStyle w:val="Akapitzlist"/>
              <w:widowControl w:val="0"/>
              <w:numPr>
                <w:ilvl w:val="2"/>
                <w:numId w:val="1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pacjenta;</w:t>
            </w:r>
          </w:p>
          <w:p w14:paraId="04E28F98" w14:textId="3055D3A1" w:rsidR="004833C7" w:rsidRPr="0052754C" w:rsidRDefault="004833C7" w:rsidP="008367DA">
            <w:pPr>
              <w:pStyle w:val="Akapitzlist"/>
              <w:widowControl w:val="0"/>
              <w:numPr>
                <w:ilvl w:val="2"/>
                <w:numId w:val="1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odpowiedzi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leczenie;</w:t>
            </w:r>
          </w:p>
          <w:p w14:paraId="02AB6B27" w14:textId="1B11C704" w:rsidR="004833C7" w:rsidRPr="0052754C" w:rsidRDefault="004833C7" w:rsidP="008367DA">
            <w:pPr>
              <w:pStyle w:val="Akapitzlist"/>
              <w:widowControl w:val="0"/>
              <w:numPr>
                <w:ilvl w:val="2"/>
                <w:numId w:val="13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53A5BBD" w14:textId="6CB42348" w:rsidR="004833C7" w:rsidRDefault="004833C7" w:rsidP="00E024EA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Zwiększenie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powinno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dążenia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osiągnięcia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celów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terapeutycznych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zalecanych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naukowe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ESC,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ERS,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E02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AEPC.</w:t>
            </w:r>
          </w:p>
          <w:p w14:paraId="41870D1B" w14:textId="77777777" w:rsidR="00E024EA" w:rsidRPr="00E024EA" w:rsidRDefault="00E024EA" w:rsidP="00E024EA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ADE075A" w14:textId="02FA20F5" w:rsidR="004833C7" w:rsidRDefault="004833C7" w:rsidP="008367DA">
            <w:pPr>
              <w:widowControl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sildenafil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monoterapii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4C7EBCC3" w14:textId="77777777" w:rsidR="00E024EA" w:rsidRPr="0052754C" w:rsidRDefault="00E024EA" w:rsidP="00E024EA">
            <w:pPr>
              <w:widowControl w:val="0"/>
              <w:spacing w:after="60" w:line="276" w:lineRule="auto"/>
              <w:ind w:left="22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CCE02E" w14:textId="2E85D47F" w:rsidR="004833C7" w:rsidRPr="0052754C" w:rsidRDefault="004833C7" w:rsidP="008367DA">
            <w:pPr>
              <w:widowControl w:val="0"/>
              <w:numPr>
                <w:ilvl w:val="0"/>
                <w:numId w:val="13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rzutu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bosentan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iloprost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treprostinil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epoprostenol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skojarzone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dwulekowe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skojarzone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trójlekowe)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mogą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stosowane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zamiennie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tolerancji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skuteczności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leczenia.</w:t>
            </w:r>
          </w:p>
          <w:p w14:paraId="664D4AD6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CD902" w14:textId="3ADE3D3E" w:rsidR="004833C7" w:rsidRPr="0052754C" w:rsidRDefault="004833C7" w:rsidP="008367DA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lastRenderedPageBreak/>
              <w:t>Badania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3F5DFB0B" w14:textId="0ADF30A2" w:rsidR="004833C7" w:rsidRPr="0052754C" w:rsidRDefault="004833C7" w:rsidP="008367DA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nieinwazyjne:</w:t>
            </w:r>
          </w:p>
          <w:p w14:paraId="13749C42" w14:textId="0EFE5D67" w:rsidR="004833C7" w:rsidRPr="0052754C" w:rsidRDefault="004833C7" w:rsidP="008367DA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czynnościowej</w:t>
            </w:r>
          </w:p>
          <w:p w14:paraId="7B9B397C" w14:textId="5DE43992" w:rsidR="004833C7" w:rsidRPr="0052754C" w:rsidRDefault="004833C7" w:rsidP="008367DA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6-minutowego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marszu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–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CF93C04" w14:textId="4304E8D5" w:rsidR="004833C7" w:rsidRPr="0052754C" w:rsidRDefault="004833C7" w:rsidP="008367DA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IV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klasie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czynnościowej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klinicznymi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objawami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zdekompensowanej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prawej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komory</w:t>
            </w:r>
          </w:p>
          <w:p w14:paraId="50802391" w14:textId="0D552A0F" w:rsidR="004833C7" w:rsidRPr="0052754C" w:rsidRDefault="004833C7" w:rsidP="008367DA">
            <w:pPr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dzieci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parametry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rozwojowe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umożliwiają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badania;</w:t>
            </w:r>
          </w:p>
          <w:p w14:paraId="5EE161C4" w14:textId="73BB0766" w:rsidR="004833C7" w:rsidRPr="0052754C" w:rsidRDefault="004833C7" w:rsidP="008367DA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NT-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proBNP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BNP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zależności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dostępności),</w:t>
            </w:r>
          </w:p>
          <w:p w14:paraId="07709238" w14:textId="51ACBFEE" w:rsidR="004833C7" w:rsidRDefault="004833C7" w:rsidP="008367DA">
            <w:pPr>
              <w:numPr>
                <w:ilvl w:val="2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echokardiograficzne.</w:t>
            </w:r>
          </w:p>
          <w:p w14:paraId="3149AF09" w14:textId="77777777" w:rsidR="00E024EA" w:rsidRPr="0052754C" w:rsidRDefault="00E024EA" w:rsidP="00E024EA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4A6250C" w14:textId="5BD5510C" w:rsidR="004833C7" w:rsidRPr="0052754C" w:rsidRDefault="004833C7" w:rsidP="008367DA">
            <w:pPr>
              <w:pStyle w:val="Akapitzlist"/>
              <w:numPr>
                <w:ilvl w:val="1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AA3E1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inwazyjne</w:t>
            </w:r>
          </w:p>
          <w:p w14:paraId="74E7E166" w14:textId="3689EC4E" w:rsidR="004833C7" w:rsidRPr="00AA3E18" w:rsidRDefault="00AA3E18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1.2.1.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Cewnikowanie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prawego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serca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(badanie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hemodynamiczne)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oceną: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</w:p>
          <w:p w14:paraId="7EBEEE0D" w14:textId="522AF092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ciśnienia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zaklinowania;</w:t>
            </w:r>
          </w:p>
          <w:p w14:paraId="7DBF6D6B" w14:textId="2753121A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naczyniowego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oporu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płucnego;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</w:p>
          <w:p w14:paraId="33D59616" w14:textId="0CB46218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pojemności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minutowej;</w:t>
            </w:r>
          </w:p>
          <w:p w14:paraId="23EB9958" w14:textId="2A893764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saturacji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mieszanej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krwi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żylnej</w:t>
            </w:r>
          </w:p>
          <w:p w14:paraId="20668629" w14:textId="3FC232F2" w:rsidR="004833C7" w:rsidRPr="00AA3E18" w:rsidRDefault="004833C7" w:rsidP="000E4EF9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przeprowadzeniem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ostrego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testu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wazoreaktywności</w:t>
            </w:r>
            <w:proofErr w:type="spellEnd"/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wybranych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przypadkach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określonych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kryteriach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włączenia.</w:t>
            </w:r>
          </w:p>
          <w:p w14:paraId="1835876C" w14:textId="7DD2737D" w:rsidR="004833C7" w:rsidRPr="000E4EF9" w:rsidRDefault="004833C7" w:rsidP="000E4EF9">
            <w:pPr>
              <w:widowControl w:val="0"/>
              <w:tabs>
                <w:tab w:val="left" w:pos="281"/>
              </w:tabs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lastRenderedPageBreak/>
              <w:t>Badanie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to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musi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być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wykonane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nie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więcej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niż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8-12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tygodni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przed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włączeniem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do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programu.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Kryterium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czasu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nie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jest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wymagane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pacjentów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&lt;18</w:t>
            </w:r>
            <w:r w:rsidR="00AA3E18"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0E4EF9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r.ż.</w:t>
            </w:r>
          </w:p>
          <w:p w14:paraId="1F4EEAA6" w14:textId="77777777" w:rsidR="00AA3E18" w:rsidRPr="0052754C" w:rsidRDefault="00AA3E18" w:rsidP="00AA3E18">
            <w:pPr>
              <w:pStyle w:val="Akapitzlist"/>
              <w:widowControl w:val="0"/>
              <w:tabs>
                <w:tab w:val="left" w:pos="281"/>
              </w:tabs>
              <w:spacing w:after="60"/>
              <w:ind w:left="227"/>
              <w:contextualSpacing w:val="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  <w:p w14:paraId="5898FA5F" w14:textId="01C786EF" w:rsidR="004833C7" w:rsidRDefault="00AA3E18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1.2.2.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przypadku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ciężkiego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stanu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pacjenta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diagnostyczne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cewnikowanie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prawego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serca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można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odłożyć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czasu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uzyskania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stabilizacji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klinicznej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wyłącznie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pod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warunkiem,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że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było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ono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wykonane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wcześniej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potwierdziło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rozpoznanie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TNP.</w:t>
            </w:r>
          </w:p>
          <w:p w14:paraId="7B99D176" w14:textId="77777777" w:rsidR="00AA3E18" w:rsidRPr="00AA3E18" w:rsidRDefault="00AA3E18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</w:p>
          <w:p w14:paraId="7FC9FAEE" w14:textId="1C222A5D" w:rsidR="004833C7" w:rsidRPr="00AA3E18" w:rsidRDefault="00AA3E18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1.2.3.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Wymóg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cewnikowania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prawego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serca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przy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kwalifikacji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nie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dotyczy:</w:t>
            </w:r>
          </w:p>
          <w:p w14:paraId="02AC764C" w14:textId="6352A6DC" w:rsidR="004833C7" w:rsidRPr="0052754C" w:rsidRDefault="004833C7" w:rsidP="008367DA">
            <w:pPr>
              <w:widowControl w:val="0"/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pacjentów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uprzednio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leczonych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lekami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dostępnymi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ramach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programów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lekowych,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których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TNP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było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potwierdzone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cewnikowaniem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prawego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serca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przeszłości,</w:t>
            </w:r>
          </w:p>
          <w:p w14:paraId="2D430293" w14:textId="13BC05D9" w:rsidR="004833C7" w:rsidRPr="0052754C" w:rsidRDefault="004833C7" w:rsidP="008367DA">
            <w:pPr>
              <w:widowControl w:val="0"/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pacjentów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zespołem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Eisenmengera</w:t>
            </w:r>
            <w:proofErr w:type="spellEnd"/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,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jeśli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cewnikowanie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prawego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serca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było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wykonane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nich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przeszłości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potwierdziło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rozpoznanie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TNP.</w:t>
            </w:r>
          </w:p>
          <w:p w14:paraId="7EC68762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144C479" w14:textId="3E0F405E" w:rsidR="004833C7" w:rsidRPr="0052754C" w:rsidRDefault="004833C7" w:rsidP="008367DA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663211D3" w14:textId="2EDF1B5B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Oc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tę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b</w:t>
            </w:r>
            <w:r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yk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ak</w:t>
            </w:r>
            <w:r w:rsid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rd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ziej</w:t>
            </w:r>
            <w:r w:rsidR="00AA3E18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ta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P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ym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29E2AA83" w14:textId="1FBA93E6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Możliwe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jest,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wyrażeniu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zgody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prowadzącego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terapię,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przeprowadzenie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wizyty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programie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formie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zdalnej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konsultacji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przesunięcie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wykonania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badań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programie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późniejszy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okres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ile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stanowi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zagrożenia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dla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zdrowia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pozostaje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wpływu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skuteczność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bezpieczeństwo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takiej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sytuacji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możliwe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dostarczenie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szpital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miejsca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zamieszkania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wydanie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osobie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upoważnionej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ilości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każdorazowo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większej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niezbędna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zabezpieczenia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3-4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miesięcy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(w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zależności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indywidualnego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dawkowania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wielkości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opakowań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poszczególnych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leków).</w:t>
            </w:r>
          </w:p>
          <w:p w14:paraId="77B43BC7" w14:textId="2F2737DF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Opisane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powyżej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postępowanie,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wynik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zdalnej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konsultacji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ocena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stanu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zdrowia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dokonana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lekarza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prowadzącego,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powinno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zostać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odnotowane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dokumentacji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medycznej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SMPT.</w:t>
            </w:r>
          </w:p>
          <w:p w14:paraId="66631692" w14:textId="2B7D233E" w:rsidR="007E0D3F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Osobiste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stawiennictwo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ośrodku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prowadzącym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być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jednak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rzadsze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razy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każdych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kolejnych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miesięcy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wyjątkiem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sytuacji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nadzwyczajnych,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zjawisk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epidemicznych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kiedy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dopuszcza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osobiste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stawiennictwo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ośrodku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prowadzącym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rzadziej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niż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ciągu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każdych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kolejnych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miesięcy.</w:t>
            </w:r>
          </w:p>
          <w:p w14:paraId="18D06398" w14:textId="2AEC0E2D" w:rsidR="007E0D3F" w:rsidRPr="0052754C" w:rsidRDefault="007E0D3F" w:rsidP="00E024EA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DCB7A49" w14:textId="5F3F3FD8" w:rsidR="004833C7" w:rsidRPr="0052754C" w:rsidRDefault="004833C7" w:rsidP="008367DA">
            <w:pPr>
              <w:pStyle w:val="Akapitzlist"/>
              <w:widowControl w:val="0"/>
              <w:numPr>
                <w:ilvl w:val="1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ia</w:t>
            </w:r>
            <w:r w:rsidR="00AA3E18">
              <w:rPr>
                <w:rFonts w:ascii="Times New Roman" w:eastAsia="Times New Roman" w:hAnsi="Times New Roman"/>
                <w:b/>
                <w:spacing w:val="-7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iei</w:t>
            </w:r>
            <w:r w:rsidRPr="0052754C">
              <w:rPr>
                <w:rFonts w:ascii="Times New Roman" w:eastAsia="Times New Roman" w:hAnsi="Times New Roman"/>
                <w:b/>
                <w:spacing w:val="3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/>
                <w:b/>
                <w:spacing w:val="-4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/>
                <w:b/>
                <w:spacing w:val="2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e</w:t>
            </w:r>
          </w:p>
          <w:p w14:paraId="021F3564" w14:textId="7E318C6F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="00AA3E18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ś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2754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ej;</w:t>
            </w:r>
          </w:p>
          <w:p w14:paraId="024FDBFA" w14:textId="7719EA66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test</w:t>
            </w:r>
            <w:r w:rsidR="00AA3E1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6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-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nu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(z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wyjątkiem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pacjentów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IV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klasie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czynnościowej);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przypadku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dzieci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dotyczy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pacjentów,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których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parametry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rozwojowe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umożliwiają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wykonanie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badania)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4CB6C476" w14:textId="3DFA6D0D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T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proofErr w:type="spellStart"/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proofErr w:type="spellEnd"/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lub</w:t>
            </w:r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BNP</w:t>
            </w:r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(w</w:t>
            </w:r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zależności</w:t>
            </w:r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od</w:t>
            </w:r>
            <w:r w:rsidR="00AA3E18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dostępności)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A9BCE03" w14:textId="7FE27761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f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icz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="00AA3E18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(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ież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ś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ó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ań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>pod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)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663B118B" w14:textId="2DA707BB" w:rsidR="004833C7" w:rsidRPr="00AA3E18" w:rsidRDefault="00AA3E18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–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kon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ies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ęc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terminie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wcześniejszym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zależności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wskazań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klinicznych,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przypadku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pogorszenia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samopoczucia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stanu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chorego.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pod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ę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te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b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ć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ó</w:t>
            </w:r>
            <w:r w:rsidR="004833C7" w:rsidRP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ież</w:t>
            </w:r>
            <w:r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yk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="004833C7" w:rsidRPr="00AA3E18">
              <w:rPr>
                <w:rFonts w:ascii="Times New Roman" w:eastAsia="Times New Roman" w:hAnsi="Times New Roman"/>
                <w:spacing w:val="6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tr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6"/>
                <w:sz w:val="20"/>
                <w:szCs w:val="20"/>
              </w:rPr>
              <w:t>3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-6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ale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ó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ież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dk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or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opo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l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pogorszenia</w:t>
            </w:r>
            <w:r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pacjenta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tej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od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tęp</w:t>
            </w:r>
            <w:r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7"/>
                <w:sz w:val="20"/>
                <w:szCs w:val="20"/>
              </w:rPr>
              <w:t>3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-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ię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astę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p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pacing w:val="-10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ru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tr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że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lic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ć</w:t>
            </w:r>
            <w:r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tu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dod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at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/>
                <w:spacing w:val="-9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b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ań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ep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="004833C7" w:rsidRP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on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/>
                <w:spacing w:val="-14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r</w:t>
            </w:r>
            <w:r w:rsidR="004833C7"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/>
                <w:spacing w:val="-13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ze</w:t>
            </w:r>
            <w:r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s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z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ń</w:t>
            </w:r>
            <w:r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icz</w:t>
            </w:r>
            <w:r w:rsidR="004833C7"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n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="004833C7"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c</w:t>
            </w:r>
            <w:r w:rsidR="004833C7"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="004833C7" w:rsidRPr="00AA3E18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14:paraId="73BF6721" w14:textId="77777777" w:rsidR="006809F9" w:rsidRPr="0052754C" w:rsidRDefault="006809F9" w:rsidP="00E024EA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</w:pPr>
          </w:p>
          <w:p w14:paraId="08CEB91C" w14:textId="6A9B290A" w:rsidR="004833C7" w:rsidRPr="0052754C" w:rsidRDefault="004833C7" w:rsidP="008367DA">
            <w:pPr>
              <w:pStyle w:val="Akapitzlist"/>
              <w:widowControl w:val="0"/>
              <w:numPr>
                <w:ilvl w:val="1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/>
                <w:b/>
                <w:spacing w:val="-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nia</w:t>
            </w:r>
            <w:r w:rsidR="00AA3E18">
              <w:rPr>
                <w:rFonts w:ascii="Times New Roman" w:eastAsia="Times New Roman" w:hAnsi="Times New Roman"/>
                <w:b/>
                <w:spacing w:val="-9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in</w:t>
            </w:r>
            <w:r w:rsidRPr="0052754C">
              <w:rPr>
                <w:rFonts w:ascii="Times New Roman" w:eastAsia="Times New Roman" w:hAnsi="Times New Roman"/>
                <w:b/>
                <w:spacing w:val="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/>
                <w:b/>
                <w:spacing w:val="-2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/>
                <w:b/>
                <w:spacing w:val="1"/>
                <w:sz w:val="20"/>
                <w:szCs w:val="20"/>
              </w:rPr>
              <w:t>yj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</w:rPr>
              <w:t>ne</w:t>
            </w:r>
          </w:p>
          <w:p w14:paraId="7DA02B35" w14:textId="5BE6B605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Symbol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/>
                <w:spacing w:val="-12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pr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ca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(b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d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ie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h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>m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d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e)</w:t>
            </w:r>
            <w:r w:rsidR="00AA3E18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ą</w:t>
            </w:r>
            <w:r w:rsid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ciśnie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ia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ia,</w:t>
            </w:r>
            <w:r w:rsidR="00AA3E18">
              <w:rPr>
                <w:rFonts w:ascii="Times New Roman" w:eastAsia="Times New Roman" w:hAnsi="Times New Roman"/>
                <w:spacing w:val="-8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z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/>
                <w:spacing w:val="-1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opor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ł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g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p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mn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ś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ci</w:t>
            </w:r>
            <w:r w:rsidR="00AA3E18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m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u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o</w:t>
            </w:r>
            <w:r w:rsidRP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="00AA3E18">
              <w:rPr>
                <w:rFonts w:ascii="Times New Roman" w:eastAsia="Times New Roman" w:hAnsi="Times New Roman"/>
                <w:spacing w:val="-6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sa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t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r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c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pacing w:val="-7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3"/>
                <w:sz w:val="20"/>
                <w:szCs w:val="20"/>
              </w:rPr>
              <w:t>m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e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a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="00AA3E18">
              <w:rPr>
                <w:rFonts w:ascii="Times New Roman" w:eastAsia="Times New Roman" w:hAnsi="Times New Roman"/>
                <w:spacing w:val="-5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r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/>
                <w:spacing w:val="-4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3"/>
                <w:sz w:val="20"/>
                <w:szCs w:val="20"/>
              </w:rPr>
              <w:t>ż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y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n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>w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y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k</w:t>
            </w:r>
            <w:r w:rsidRPr="00AA3E18">
              <w:rPr>
                <w:rFonts w:ascii="Times New Roman" w:eastAsia="Times New Roman" w:hAnsi="Times New Roman"/>
                <w:spacing w:val="1"/>
                <w:sz w:val="20"/>
                <w:szCs w:val="20"/>
              </w:rPr>
              <w:t>on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A3E18">
              <w:rPr>
                <w:rFonts w:ascii="Times New Roman" w:eastAsia="Times New Roman" w:hAnsi="Times New Roman"/>
                <w:spacing w:val="2"/>
                <w:sz w:val="20"/>
                <w:szCs w:val="20"/>
              </w:rPr>
              <w:t>j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s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ię:</w:t>
            </w:r>
          </w:p>
          <w:p w14:paraId="04A67E65" w14:textId="652F471F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przed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włączeniem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II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rzutu,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tym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że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przypadku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ciężkiego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stanu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(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 w:rsidR="00AA3E18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ś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 w:rsidRPr="0052754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można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odłożyć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cewnikowanie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do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czasu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uzyskania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stabilizacji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klinicznej;</w:t>
            </w:r>
          </w:p>
          <w:p w14:paraId="024B8D7C" w14:textId="77777777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eżeli:</w:t>
            </w:r>
          </w:p>
          <w:p w14:paraId="277F88A5" w14:textId="58D9C62D" w:rsidR="004833C7" w:rsidRPr="0052754C" w:rsidRDefault="004833C7" w:rsidP="008367DA">
            <w:pPr>
              <w:widowControl w:val="0"/>
              <w:numPr>
                <w:ilvl w:val="3"/>
                <w:numId w:val="14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ań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iei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AA3E1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iez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ad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ala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="00AA3E18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lec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zgodnie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obowiązującymi</w:t>
            </w:r>
            <w:r w:rsidR="00AA3E18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standardami</w:t>
            </w:r>
          </w:p>
          <w:p w14:paraId="62A9D711" w14:textId="1FA75D32" w:rsidR="004833C7" w:rsidRPr="00AA3E18" w:rsidRDefault="004833C7" w:rsidP="00AA3E18">
            <w:pPr>
              <w:widowControl w:val="0"/>
              <w:tabs>
                <w:tab w:val="left" w:pos="360"/>
              </w:tabs>
              <w:spacing w:after="60"/>
              <w:ind w:left="45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</w:t>
            </w:r>
            <w:r w:rsidRPr="00AA3E18">
              <w:rPr>
                <w:rFonts w:ascii="Times New Roman" w:eastAsia="Times New Roman" w:hAnsi="Times New Roman"/>
                <w:spacing w:val="-1"/>
                <w:sz w:val="20"/>
                <w:szCs w:val="20"/>
              </w:rPr>
              <w:t>u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="00AA3E18">
              <w:rPr>
                <w:rFonts w:ascii="Times New Roman" w:eastAsia="Times New Roman" w:hAnsi="Times New Roman"/>
                <w:spacing w:val="-2"/>
                <w:sz w:val="20"/>
                <w:szCs w:val="20"/>
              </w:rPr>
              <w:t xml:space="preserve"> </w:t>
            </w:r>
          </w:p>
          <w:p w14:paraId="28AC8FB4" w14:textId="43728618" w:rsidR="004833C7" w:rsidRPr="0052754C" w:rsidRDefault="004833C7" w:rsidP="008367DA">
            <w:pPr>
              <w:widowControl w:val="0"/>
              <w:numPr>
                <w:ilvl w:val="3"/>
                <w:numId w:val="14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lastRenderedPageBreak/>
              <w:t>o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az</w:t>
            </w:r>
            <w:r w:rsidR="00AA3E18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 w:rsidR="00AA3E18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ań</w:t>
            </w:r>
            <w:r w:rsidR="00AA3E18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AA3E18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ą</w:t>
            </w:r>
            <w:r w:rsidR="00AA3E18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 w:rsidRPr="0052754C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 w:rsidRPr="0052754C"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 w:rsidRPr="0052754C"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z</w:t>
            </w:r>
            <w:r w:rsidRPr="0052754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e;</w:t>
            </w:r>
          </w:p>
          <w:p w14:paraId="7F11AEC6" w14:textId="273CC261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tabs>
                <w:tab w:val="left" w:pos="360"/>
              </w:tabs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co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miesięcy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dla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oceny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dynamiki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</w:rPr>
              <w:t>choroby.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310487E" w14:textId="54462C5A" w:rsidR="004833C7" w:rsidRPr="00AA3E18" w:rsidRDefault="004833C7" w:rsidP="00AA3E18">
            <w:pPr>
              <w:widowControl w:val="0"/>
              <w:tabs>
                <w:tab w:val="left" w:pos="360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każdym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lekarz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prowadzący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zdecydować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odłożeniu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lub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zrezygnowaniu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cewnikowania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prawego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serca,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biorąc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pod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uwagę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całokształt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przebiegu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choroby,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realne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możliwości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modyfikacji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oparciu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wyniki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cewnikowania,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także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oceniane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indywidualnie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ryzyko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powikłań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związanych.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4517F943" w14:textId="14A9E27A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Wykonanie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cewnikowania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prawego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serca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wymagane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wieku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poniżej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18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lat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zespołem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Eisenmengera</w:t>
            </w:r>
            <w:proofErr w:type="spellEnd"/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ani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celu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monitorowania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ani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celu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zmiany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sposobu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leczenia.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  <w:p w14:paraId="10883B09" w14:textId="0502045F" w:rsidR="004833C7" w:rsidRPr="00AA3E18" w:rsidRDefault="004833C7" w:rsidP="00AA3E18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Skuteczność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ocenia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się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podstawie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przebiegu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choroby,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indywidualnych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kryteriów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prognostycznych,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zgodnie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obowiązującymi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standardami.</w:t>
            </w:r>
          </w:p>
          <w:p w14:paraId="187D00F7" w14:textId="41CA9F7B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Zmiana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obrębie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początkowego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oraz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zmiana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ramach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rzutu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wymaga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cewnikowania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prawego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serca.</w:t>
            </w:r>
          </w:p>
          <w:p w14:paraId="64B4ACE9" w14:textId="09A0A274" w:rsidR="004833C7" w:rsidRPr="00AA3E18" w:rsidRDefault="004833C7" w:rsidP="00AA3E18">
            <w:pPr>
              <w:widowControl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W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przypadku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nietolerancji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leczenia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rzutu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możliwy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jest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powrót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terapii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początkowej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bez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dodatkowej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kwalifikacji</w:t>
            </w:r>
            <w:r w:rsidR="00AA3E1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AA3E18">
              <w:rPr>
                <w:rFonts w:ascii="Times New Roman" w:eastAsia="Times New Roman" w:hAnsi="Times New Roman"/>
                <w:sz w:val="20"/>
                <w:szCs w:val="20"/>
              </w:rPr>
              <w:t>pacjenta.</w:t>
            </w:r>
          </w:p>
          <w:p w14:paraId="025A4B0D" w14:textId="77777777" w:rsidR="004833C7" w:rsidRPr="0052754C" w:rsidRDefault="004833C7" w:rsidP="00E024EA">
            <w:pPr>
              <w:widowControl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CFDF47B" w14:textId="71EEE64D" w:rsidR="004833C7" w:rsidRPr="0052754C" w:rsidRDefault="004833C7" w:rsidP="008367DA">
            <w:pPr>
              <w:pStyle w:val="Akapitzlist"/>
              <w:widowControl w:val="0"/>
              <w:numPr>
                <w:ilvl w:val="0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AA3E1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15990CD2" w14:textId="43F68F46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gromadzenie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medycznej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każdorazowe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przedstawianie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żądanie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kontrolerów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NFZ;</w:t>
            </w:r>
          </w:p>
          <w:p w14:paraId="2B8DA19E" w14:textId="6BF1192D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uzupełnienie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danych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zawartych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elektronicznym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systemie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monitorowania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programów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dostępnym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pomocą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aplikacji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internetowej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udostępnionej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Oddział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Wojewódzki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częstotliwością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zgodną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opisem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leczenia;</w:t>
            </w:r>
          </w:p>
          <w:p w14:paraId="737DEF41" w14:textId="7FB8D5F8" w:rsidR="004833C7" w:rsidRPr="0052754C" w:rsidRDefault="004833C7" w:rsidP="008367DA">
            <w:pPr>
              <w:widowControl w:val="0"/>
              <w:numPr>
                <w:ilvl w:val="2"/>
                <w:numId w:val="14"/>
              </w:numPr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przekazywanie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sprawozdawczo-rozliczeniowych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NFZ: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papierowej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formie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elektronicznej,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wymaganiami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opublikowanymi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przez</w:t>
            </w:r>
            <w:r w:rsidR="00AA3E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275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NFZ.</w:t>
            </w:r>
          </w:p>
          <w:p w14:paraId="41508E0B" w14:textId="77777777" w:rsidR="004833C7" w:rsidRPr="0052754C" w:rsidRDefault="004833C7" w:rsidP="00E024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9C7FFC2" w14:textId="77777777" w:rsidR="004833C7" w:rsidRDefault="004833C7"/>
    <w:sectPr w:rsidR="004833C7" w:rsidSect="00AA3E18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KBKDC+Arial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67707"/>
    <w:multiLevelType w:val="multilevel"/>
    <w:tmpl w:val="4F0AA6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BC50E0C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2E496B95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24D6106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351B1C35"/>
    <w:multiLevelType w:val="multilevel"/>
    <w:tmpl w:val="DED054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40EB4018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4A753D37"/>
    <w:multiLevelType w:val="multilevel"/>
    <w:tmpl w:val="1040E924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5BA22180"/>
    <w:multiLevelType w:val="multilevel"/>
    <w:tmpl w:val="AFCCD3F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5F0A5410"/>
    <w:multiLevelType w:val="multilevel"/>
    <w:tmpl w:val="714AA67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27C0190"/>
    <w:multiLevelType w:val="multilevel"/>
    <w:tmpl w:val="3716D7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64B70176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8BF7D11"/>
    <w:multiLevelType w:val="multilevel"/>
    <w:tmpl w:val="C0FAD1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7B4F59F6"/>
    <w:multiLevelType w:val="multilevel"/>
    <w:tmpl w:val="4F0AA6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D4E716C"/>
    <w:multiLevelType w:val="multilevel"/>
    <w:tmpl w:val="1EFE80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color w:val="auto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/>
        <w:bCs/>
        <w:i w:val="0"/>
        <w:i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13"/>
  </w:num>
  <w:num w:numId="12">
    <w:abstractNumId w:val="12"/>
  </w:num>
  <w:num w:numId="13">
    <w:abstractNumId w:val="0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C7"/>
    <w:rsid w:val="0001113C"/>
    <w:rsid w:val="000A16C4"/>
    <w:rsid w:val="000E4EF9"/>
    <w:rsid w:val="00142E30"/>
    <w:rsid w:val="00223C73"/>
    <w:rsid w:val="00376CAF"/>
    <w:rsid w:val="003C69CC"/>
    <w:rsid w:val="003F5D02"/>
    <w:rsid w:val="00471C19"/>
    <w:rsid w:val="004833C7"/>
    <w:rsid w:val="0052754C"/>
    <w:rsid w:val="00550DD4"/>
    <w:rsid w:val="00625F63"/>
    <w:rsid w:val="00636E10"/>
    <w:rsid w:val="006809F9"/>
    <w:rsid w:val="007436A4"/>
    <w:rsid w:val="00756714"/>
    <w:rsid w:val="007D0F68"/>
    <w:rsid w:val="007E0D3F"/>
    <w:rsid w:val="00801455"/>
    <w:rsid w:val="00830F25"/>
    <w:rsid w:val="008367DA"/>
    <w:rsid w:val="00856497"/>
    <w:rsid w:val="008861D4"/>
    <w:rsid w:val="00926A3E"/>
    <w:rsid w:val="00AA3E18"/>
    <w:rsid w:val="00AE4EEA"/>
    <w:rsid w:val="00B84C8C"/>
    <w:rsid w:val="00BB1B1F"/>
    <w:rsid w:val="00E024EA"/>
    <w:rsid w:val="00E32622"/>
    <w:rsid w:val="00E8480E"/>
    <w:rsid w:val="00EF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0522A"/>
  <w15:chartTrackingRefBased/>
  <w15:docId w15:val="{516A057C-0A41-419E-A47D-D6804C0B7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833C7"/>
    <w:pPr>
      <w:keepNext/>
      <w:keepLines/>
      <w:spacing w:before="240" w:after="0" w:line="276" w:lineRule="auto"/>
      <w:outlineLvl w:val="0"/>
    </w:pPr>
    <w:rPr>
      <w:rFonts w:ascii="Cambria" w:eastAsia="SimSun" w:hAnsi="Cambria" w:cs="Times New Roman"/>
      <w:b/>
      <w:bCs/>
      <w:color w:val="365F9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833C7"/>
    <w:pPr>
      <w:keepNext/>
      <w:keepLines/>
      <w:spacing w:before="40" w:after="0" w:line="276" w:lineRule="auto"/>
      <w:outlineLvl w:val="2"/>
    </w:pPr>
    <w:rPr>
      <w:rFonts w:ascii="Cambria" w:eastAsia="SimSun" w:hAnsi="Cambria" w:cs="Times New Roman"/>
      <w:color w:val="243F6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rsid w:val="0048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3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33C7"/>
    <w:rPr>
      <w:rFonts w:ascii="Cambria" w:eastAsia="SimSu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4833C7"/>
    <w:rPr>
      <w:rFonts w:ascii="Cambria" w:eastAsia="SimSun" w:hAnsi="Cambria" w:cs="Times New Roman"/>
      <w:color w:val="243F60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833C7"/>
  </w:style>
  <w:style w:type="paragraph" w:styleId="Tekstdymka">
    <w:name w:val="Balloon Text"/>
    <w:basedOn w:val="Normalny"/>
    <w:link w:val="TekstdymkaZnak"/>
    <w:unhideWhenUsed/>
    <w:rsid w:val="004833C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833C7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4833C7"/>
    <w:rPr>
      <w:color w:val="808080"/>
    </w:rPr>
  </w:style>
  <w:style w:type="paragraph" w:customStyle="1" w:styleId="adresat">
    <w:name w:val="adresat"/>
    <w:basedOn w:val="Normalny"/>
    <w:link w:val="adresatZnak"/>
    <w:rsid w:val="004833C7"/>
    <w:pPr>
      <w:spacing w:after="120" w:line="360" w:lineRule="auto"/>
    </w:pPr>
    <w:rPr>
      <w:rFonts w:ascii="Calibri" w:eastAsia="Calibri" w:hAnsi="Calibri" w:cs="Times New Roman"/>
    </w:rPr>
  </w:style>
  <w:style w:type="paragraph" w:customStyle="1" w:styleId="pismamz">
    <w:name w:val="pisma_mz"/>
    <w:basedOn w:val="Normalny"/>
    <w:link w:val="pismamzZnak"/>
    <w:qFormat/>
    <w:rsid w:val="004833C7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adresatZnak">
    <w:name w:val="adresat Znak"/>
    <w:basedOn w:val="Domylnaczcionkaakapitu"/>
    <w:link w:val="adresat"/>
    <w:rsid w:val="004833C7"/>
    <w:rPr>
      <w:rFonts w:ascii="Calibri" w:eastAsia="Calibri" w:hAnsi="Calibri" w:cs="Times New Roman"/>
    </w:rPr>
  </w:style>
  <w:style w:type="character" w:customStyle="1" w:styleId="pismamzZnak">
    <w:name w:val="pisma_mz Znak"/>
    <w:link w:val="pismamz"/>
    <w:rsid w:val="004833C7"/>
    <w:rPr>
      <w:rFonts w:ascii="Arial" w:eastAsia="Calibri" w:hAnsi="Arial" w:cs="Times New Roman"/>
    </w:rPr>
  </w:style>
  <w:style w:type="paragraph" w:styleId="Nagwek">
    <w:name w:val="header"/>
    <w:basedOn w:val="Normalny"/>
    <w:link w:val="NagwekZnak"/>
    <w:uiPriority w:val="99"/>
    <w:unhideWhenUsed/>
    <w:rsid w:val="004833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4833C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33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833C7"/>
    <w:rPr>
      <w:rFonts w:ascii="Calibri" w:eastAsia="Calibri" w:hAnsi="Calibri" w:cs="Times New Roman"/>
    </w:rPr>
  </w:style>
  <w:style w:type="paragraph" w:styleId="Akapitzlist">
    <w:name w:val="List Paragraph"/>
    <w:aliases w:val="Styl moj,Bullet1,List Paragraph1,Akapit z listą11,List Paragraph"/>
    <w:basedOn w:val="Normalny"/>
    <w:link w:val="AkapitzlistZnak"/>
    <w:uiPriority w:val="34"/>
    <w:qFormat/>
    <w:rsid w:val="004833C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customStyle="1" w:styleId="Tabela-Siatka2">
    <w:name w:val="Tabela - Siatka2"/>
    <w:basedOn w:val="Standardowy"/>
    <w:next w:val="Tabela-Siatka"/>
    <w:uiPriority w:val="59"/>
    <w:rsid w:val="004833C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tyl moj Znak,Bullet1 Znak,List Paragraph1 Znak,Akapit z listą11 Znak,List Paragraph Znak"/>
    <w:link w:val="Akapitzlist"/>
    <w:uiPriority w:val="34"/>
    <w:locked/>
    <w:rsid w:val="004833C7"/>
    <w:rPr>
      <w:rFonts w:ascii="Calibri" w:eastAsia="Calibri" w:hAnsi="Calibri" w:cs="Times New Roman"/>
    </w:rPr>
  </w:style>
  <w:style w:type="paragraph" w:customStyle="1" w:styleId="Nagwek11">
    <w:name w:val="Nagłówek 11"/>
    <w:basedOn w:val="Normalny"/>
    <w:next w:val="Normalny"/>
    <w:qFormat/>
    <w:rsid w:val="004833C7"/>
    <w:pPr>
      <w:keepNext/>
      <w:keepLines/>
      <w:spacing w:before="480" w:after="0" w:line="240" w:lineRule="auto"/>
      <w:outlineLvl w:val="0"/>
    </w:pPr>
    <w:rPr>
      <w:rFonts w:ascii="Cambria" w:eastAsia="SimSun" w:hAnsi="Cambria" w:cs="Times New Roman"/>
      <w:b/>
      <w:bCs/>
      <w:color w:val="365F91"/>
      <w:sz w:val="28"/>
      <w:szCs w:val="28"/>
      <w:lang w:eastAsia="pl-PL"/>
    </w:rPr>
  </w:style>
  <w:style w:type="paragraph" w:customStyle="1" w:styleId="Nagwek31">
    <w:name w:val="Nagłówek 31"/>
    <w:basedOn w:val="Normalny"/>
    <w:next w:val="Normalny"/>
    <w:semiHidden/>
    <w:unhideWhenUsed/>
    <w:qFormat/>
    <w:rsid w:val="004833C7"/>
    <w:pPr>
      <w:keepNext/>
      <w:keepLines/>
      <w:spacing w:before="40" w:after="0" w:line="240" w:lineRule="auto"/>
      <w:outlineLvl w:val="2"/>
    </w:pPr>
    <w:rPr>
      <w:rFonts w:ascii="Cambria" w:eastAsia="SimSun" w:hAnsi="Cambria" w:cs="Times New Roman"/>
      <w:color w:val="243F60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4833C7"/>
  </w:style>
  <w:style w:type="character" w:styleId="Odwoaniedokomentarza">
    <w:name w:val="annotation reference"/>
    <w:uiPriority w:val="99"/>
    <w:rsid w:val="004833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33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833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833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83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4833C7"/>
    <w:pPr>
      <w:widowControl w:val="0"/>
      <w:autoSpaceDE w:val="0"/>
      <w:autoSpaceDN w:val="0"/>
      <w:adjustRightInd w:val="0"/>
      <w:spacing w:after="0" w:line="240" w:lineRule="auto"/>
    </w:pPr>
    <w:rPr>
      <w:rFonts w:ascii="CKBKDC+Arial" w:eastAsia="Times New Roman" w:hAnsi="CKBKDC+Arial" w:cs="CKBKDC+Arial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833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833C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1"/>
    <w:qFormat/>
    <w:rsid w:val="004833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4833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833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4833C7"/>
    <w:rPr>
      <w:vertAlign w:val="superscript"/>
    </w:rPr>
  </w:style>
  <w:style w:type="paragraph" w:customStyle="1" w:styleId="xmsocommenttext">
    <w:name w:val="x_msocommenttext"/>
    <w:basedOn w:val="Normalny"/>
    <w:rsid w:val="004833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1Znak1">
    <w:name w:val="Nagłówek 1 Znak1"/>
    <w:basedOn w:val="Domylnaczcionkaakapitu"/>
    <w:uiPriority w:val="9"/>
    <w:rsid w:val="004833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3Znak1">
    <w:name w:val="Nagłówek 3 Znak1"/>
    <w:basedOn w:val="Domylnaczcionkaakapitu"/>
    <w:uiPriority w:val="9"/>
    <w:semiHidden/>
    <w:rsid w:val="004833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2E63F-988D-4A47-93B0-5EA6D919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3588</Words>
  <Characters>21534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4</cp:revision>
  <dcterms:created xsi:type="dcterms:W3CDTF">2020-11-26T15:46:00Z</dcterms:created>
  <dcterms:modified xsi:type="dcterms:W3CDTF">2020-11-26T16:56:00Z</dcterms:modified>
</cp:coreProperties>
</file>